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2280B">
      <w:pPr>
        <w:pStyle w:val="2"/>
        <w:overflowPunct w:val="0"/>
        <w:adjustRightInd w:val="0"/>
        <w:snapToGrid w:val="0"/>
        <w:spacing w:before="0" w:after="0" w:line="579" w:lineRule="exact"/>
        <w:jc w:val="center"/>
        <w:rPr>
          <w:rFonts w:ascii="方正小标宋_GBK" w:hAnsi="方正小标宋_GBK" w:eastAsia="方正小标宋_GBK" w:cs="方正小标宋_GBK"/>
          <w:b w:val="0"/>
          <w:bCs w:val="0"/>
        </w:rPr>
      </w:pPr>
      <w:bookmarkStart w:id="0" w:name="_Toc403462030"/>
      <w:bookmarkStart w:id="1" w:name="_Toc22374"/>
      <w:bookmarkStart w:id="2" w:name="_Toc13158"/>
      <w:bookmarkStart w:id="3" w:name="_Toc464"/>
      <w:bookmarkStart w:id="4" w:name="_Toc20928"/>
      <w:bookmarkStart w:id="5" w:name="_Toc404583645"/>
      <w:bookmarkStart w:id="6" w:name="_Toc16056"/>
      <w:bookmarkStart w:id="7" w:name="_Toc436227100"/>
      <w:bookmarkStart w:id="8" w:name="_Toc18902"/>
      <w:bookmarkStart w:id="9" w:name="_Toc29546"/>
      <w:bookmarkStart w:id="10" w:name="_Toc20831"/>
      <w:bookmarkStart w:id="11" w:name="_Toc12801"/>
      <w:bookmarkStart w:id="12" w:name="_Toc4732"/>
      <w:bookmarkStart w:id="13" w:name="_Toc404583532"/>
      <w:bookmarkStart w:id="14" w:name="_Toc28502"/>
      <w:bookmarkStart w:id="15" w:name="_Toc5155"/>
      <w:bookmarkStart w:id="16" w:name="_Toc420932286"/>
      <w:bookmarkStart w:id="17" w:name="_Toc28871"/>
      <w:bookmarkStart w:id="18" w:name="_Toc1830"/>
      <w:bookmarkStart w:id="19" w:name="_Toc17860"/>
      <w:bookmarkStart w:id="20" w:name="_Toc91593492"/>
      <w:bookmarkStart w:id="21" w:name="_Toc19694"/>
      <w:bookmarkStart w:id="22" w:name="_Toc31091"/>
      <w:bookmarkStart w:id="23" w:name="_Toc22682"/>
      <w:bookmarkStart w:id="24" w:name="_Toc91709819"/>
      <w:r>
        <w:rPr>
          <w:rFonts w:hint="eastAsia" w:ascii="方正小标宋_GBK" w:hAnsi="方正小标宋_GBK" w:eastAsia="方正小标宋_GBK" w:cs="方正小标宋_GBK"/>
          <w:b w:val="0"/>
          <w:bCs w:val="0"/>
        </w:rPr>
        <w:t>邯郸市网络预约出租汽车车载</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ascii="方正小标宋_GBK" w:hAnsi="方正小标宋_GBK" w:eastAsia="方正小标宋_GBK" w:cs="方正小标宋_GBK"/>
          <w:b w:val="0"/>
          <w:bCs w:val="0"/>
        </w:rPr>
        <w:t>终端设备</w:t>
      </w:r>
      <w:bookmarkEnd w:id="19"/>
      <w:bookmarkEnd w:id="20"/>
      <w:bookmarkEnd w:id="21"/>
      <w:bookmarkEnd w:id="22"/>
      <w:bookmarkEnd w:id="23"/>
      <w:bookmarkStart w:id="25" w:name="_Toc91593493"/>
    </w:p>
    <w:p w14:paraId="6446C198">
      <w:pPr>
        <w:pStyle w:val="2"/>
        <w:overflowPunct w:val="0"/>
        <w:adjustRightInd w:val="0"/>
        <w:snapToGrid w:val="0"/>
        <w:spacing w:before="0" w:after="0" w:line="579" w:lineRule="exact"/>
        <w:jc w:val="center"/>
        <w:rPr>
          <w:rFonts w:ascii="方正小标宋_GBK" w:hAnsi="方正小标宋_GBK" w:eastAsia="方正小标宋_GBK" w:cs="方正小标宋_GBK"/>
          <w:b w:val="0"/>
          <w:bCs w:val="0"/>
        </w:rPr>
      </w:pPr>
      <w:r>
        <w:rPr>
          <w:rFonts w:hint="eastAsia" w:ascii="方正小标宋_GBK" w:hAnsi="方正小标宋_GBK" w:eastAsia="方正小标宋_GBK" w:cs="方正小标宋_GBK"/>
          <w:b w:val="0"/>
          <w:bCs w:val="0"/>
        </w:rPr>
        <w:t>配置指引（暂行）</w:t>
      </w:r>
      <w:bookmarkEnd w:id="24"/>
      <w:bookmarkEnd w:id="25"/>
    </w:p>
    <w:p w14:paraId="4E56B252">
      <w:pPr>
        <w:pStyle w:val="2"/>
        <w:overflowPunct w:val="0"/>
        <w:adjustRightInd w:val="0"/>
        <w:snapToGrid w:val="0"/>
        <w:spacing w:before="0" w:after="0" w:line="579" w:lineRule="exact"/>
        <w:rPr>
          <w:rFonts w:ascii="黑体" w:hAnsi="黑体" w:eastAsia="黑体" w:cs="黑体"/>
          <w:b w:val="0"/>
          <w:bCs w:val="0"/>
          <w:sz w:val="32"/>
          <w:szCs w:val="32"/>
        </w:rPr>
      </w:pPr>
      <w:bookmarkStart w:id="26" w:name="_Toc364930885"/>
      <w:bookmarkStart w:id="27" w:name="_Toc404583646"/>
      <w:bookmarkStart w:id="28" w:name="_Toc275961491"/>
      <w:bookmarkStart w:id="29" w:name="_Toc281487644"/>
      <w:bookmarkStart w:id="30" w:name="_Toc362620274"/>
      <w:bookmarkStart w:id="31" w:name="_Toc10860"/>
      <w:bookmarkStart w:id="32" w:name="_Toc282676209"/>
      <w:bookmarkStart w:id="33" w:name="_Toc4812"/>
      <w:bookmarkStart w:id="34" w:name="_Toc19430"/>
      <w:bookmarkStart w:id="35" w:name="_Toc16900"/>
      <w:bookmarkStart w:id="36" w:name="_Toc360718201"/>
      <w:bookmarkStart w:id="37" w:name="_Toc275935749"/>
      <w:bookmarkStart w:id="38" w:name="_Toc23097"/>
      <w:bookmarkStart w:id="39" w:name="_Toc32264"/>
      <w:bookmarkStart w:id="40" w:name="_Toc24815"/>
      <w:bookmarkStart w:id="41" w:name="_Toc362621237"/>
      <w:bookmarkStart w:id="42" w:name="_Toc274927757"/>
      <w:bookmarkStart w:id="43" w:name="_Toc277142996"/>
      <w:bookmarkStart w:id="44" w:name="_Toc20014"/>
      <w:bookmarkStart w:id="45" w:name="_Toc361993740"/>
      <w:bookmarkStart w:id="46" w:name="_Toc275969208"/>
      <w:bookmarkStart w:id="47" w:name="_Toc25138"/>
      <w:bookmarkStart w:id="48" w:name="_Toc436227101"/>
      <w:bookmarkStart w:id="49" w:name="_Toc275969251"/>
      <w:bookmarkStart w:id="50" w:name="_Toc13792"/>
      <w:bookmarkStart w:id="51" w:name="_Toc277236907"/>
      <w:bookmarkStart w:id="52" w:name="_Toc362612484"/>
      <w:bookmarkStart w:id="53" w:name="_Toc14127"/>
      <w:bookmarkStart w:id="54" w:name="_Toc20394"/>
      <w:bookmarkStart w:id="55" w:name="_Toc360719597"/>
      <w:bookmarkStart w:id="56" w:name="_Toc359398888"/>
      <w:bookmarkStart w:id="57" w:name="_Toc361993043"/>
      <w:bookmarkStart w:id="58" w:name="_Toc363055365"/>
      <w:bookmarkStart w:id="59" w:name="_Toc17478"/>
      <w:bookmarkStart w:id="60" w:name="_Toc2296"/>
      <w:bookmarkStart w:id="61" w:name="_Toc364776432"/>
      <w:bookmarkStart w:id="62" w:name="_Toc274896872"/>
      <w:bookmarkStart w:id="63" w:name="_Toc27531"/>
      <w:bookmarkStart w:id="64" w:name="_Toc359401285"/>
      <w:bookmarkStart w:id="65" w:name="_Toc20380"/>
      <w:bookmarkStart w:id="66" w:name="_Toc24646"/>
      <w:bookmarkStart w:id="67" w:name="_Toc91709820"/>
      <w:bookmarkStart w:id="68" w:name="_Toc6440"/>
      <w:r>
        <w:rPr>
          <w:rFonts w:hint="eastAsia" w:ascii="黑体" w:hAnsi="黑体" w:eastAsia="黑体" w:cs="黑体"/>
          <w:b w:val="0"/>
          <w:bCs w:val="0"/>
          <w:sz w:val="32"/>
          <w:szCs w:val="32"/>
        </w:rPr>
        <w:t>范围</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Start w:id="333" w:name="_GoBack"/>
      <w:bookmarkEnd w:id="333"/>
    </w:p>
    <w:p w14:paraId="749530F1">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本指引规定了车载终端设备的技术要求。</w:t>
      </w:r>
    </w:p>
    <w:p w14:paraId="1D17B74C">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本指引适用于安装于我市网络预约出租汽车上的车载终端设备。</w:t>
      </w:r>
    </w:p>
    <w:p w14:paraId="5436E184">
      <w:pPr>
        <w:pStyle w:val="2"/>
        <w:overflowPunct w:val="0"/>
        <w:adjustRightInd w:val="0"/>
        <w:snapToGrid w:val="0"/>
        <w:spacing w:before="0" w:after="0" w:line="579" w:lineRule="exact"/>
        <w:rPr>
          <w:rFonts w:ascii="黑体" w:hAnsi="黑体" w:eastAsia="黑体" w:cs="黑体"/>
          <w:b w:val="0"/>
          <w:bCs w:val="0"/>
          <w:sz w:val="32"/>
          <w:szCs w:val="32"/>
        </w:rPr>
      </w:pPr>
      <w:bookmarkStart w:id="69" w:name="_Toc268787316"/>
      <w:bookmarkEnd w:id="69"/>
      <w:bookmarkStart w:id="70" w:name="_Toc268787315"/>
      <w:bookmarkEnd w:id="70"/>
      <w:bookmarkStart w:id="71" w:name="_Toc268781934"/>
      <w:bookmarkEnd w:id="71"/>
      <w:bookmarkStart w:id="72" w:name="_Toc268787313"/>
      <w:bookmarkEnd w:id="72"/>
      <w:bookmarkStart w:id="73" w:name="_Toc268781937"/>
      <w:bookmarkEnd w:id="73"/>
      <w:bookmarkStart w:id="74" w:name="_Toc268781940"/>
      <w:bookmarkEnd w:id="74"/>
      <w:bookmarkStart w:id="75" w:name="_Toc268787317"/>
      <w:bookmarkEnd w:id="75"/>
      <w:bookmarkStart w:id="76" w:name="_Toc268781939"/>
      <w:bookmarkEnd w:id="76"/>
      <w:bookmarkStart w:id="77" w:name="_Toc268787318"/>
      <w:bookmarkEnd w:id="77"/>
      <w:bookmarkStart w:id="78" w:name="_Toc274896874"/>
      <w:bookmarkEnd w:id="78"/>
      <w:bookmarkStart w:id="79" w:name="_Toc268781932"/>
      <w:bookmarkEnd w:id="79"/>
      <w:bookmarkStart w:id="80" w:name="_Toc268787311"/>
      <w:bookmarkEnd w:id="80"/>
      <w:bookmarkStart w:id="81" w:name="_Toc268787319"/>
      <w:bookmarkEnd w:id="81"/>
      <w:bookmarkStart w:id="82" w:name="_Toc268787312"/>
      <w:bookmarkEnd w:id="82"/>
      <w:bookmarkStart w:id="83" w:name="_Toc268781938"/>
      <w:bookmarkEnd w:id="83"/>
      <w:bookmarkStart w:id="84" w:name="_Toc268781936"/>
      <w:bookmarkEnd w:id="84"/>
      <w:bookmarkStart w:id="85" w:name="_Toc268781933"/>
      <w:bookmarkEnd w:id="85"/>
      <w:bookmarkStart w:id="86" w:name="_Toc27759"/>
      <w:bookmarkStart w:id="87" w:name="_Toc363055366"/>
      <w:bookmarkStart w:id="88" w:name="_Toc18144"/>
      <w:bookmarkStart w:id="89" w:name="_Toc19754"/>
      <w:bookmarkStart w:id="90" w:name="_Toc362621238"/>
      <w:bookmarkStart w:id="91" w:name="_Toc5816"/>
      <w:bookmarkStart w:id="92" w:name="_Toc91709821"/>
      <w:bookmarkStart w:id="93" w:name="_Toc23424"/>
      <w:bookmarkStart w:id="94" w:name="_Toc26207"/>
      <w:bookmarkStart w:id="95" w:name="_Toc12207"/>
      <w:bookmarkStart w:id="96" w:name="_Toc20370"/>
      <w:bookmarkStart w:id="97" w:name="_Toc364776433"/>
      <w:bookmarkStart w:id="98" w:name="_Toc7180"/>
      <w:bookmarkStart w:id="99" w:name="_Toc362612485"/>
      <w:bookmarkStart w:id="100" w:name="_Toc436227102"/>
      <w:bookmarkStart w:id="101" w:name="_Toc2071"/>
      <w:bookmarkStart w:id="102" w:name="_Toc307473847"/>
      <w:bookmarkStart w:id="103" w:name="_Toc8393"/>
      <w:bookmarkStart w:id="104" w:name="_Toc18968"/>
      <w:bookmarkStart w:id="105" w:name="_Toc5848"/>
      <w:bookmarkStart w:id="106" w:name="_Toc32147"/>
      <w:bookmarkStart w:id="107" w:name="_Toc12501"/>
      <w:bookmarkStart w:id="108" w:name="_Toc16360"/>
      <w:bookmarkStart w:id="109" w:name="_Toc362620275"/>
      <w:bookmarkStart w:id="110" w:name="_Toc404583647"/>
      <w:bookmarkStart w:id="111" w:name="_Toc22103"/>
      <w:bookmarkStart w:id="112" w:name="_Toc5291"/>
      <w:bookmarkStart w:id="113" w:name="_Toc364930886"/>
      <w:bookmarkStart w:id="114" w:name="_Toc361993741"/>
      <w:bookmarkStart w:id="115" w:name="_Toc361993044"/>
      <w:r>
        <w:rPr>
          <w:rFonts w:hint="eastAsia" w:ascii="黑体" w:hAnsi="黑体" w:eastAsia="黑体" w:cs="黑体"/>
          <w:b w:val="0"/>
          <w:bCs w:val="0"/>
          <w:sz w:val="32"/>
          <w:szCs w:val="32"/>
        </w:rPr>
        <w:t>规范性引用文件</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667060A0">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下列文件对于本文件的应用是必不可少的。凡是注日期的引用文件，仅所注日期的版本适用于本文件。凡是不注日期的引用文件，其最新版本（包括所有的修改单）适用于本文件。</w:t>
      </w:r>
    </w:p>
    <w:p w14:paraId="53E3A6C5">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bookmarkStart w:id="116" w:name="_Toc362612486"/>
      <w:bookmarkStart w:id="117" w:name="_Toc364930887"/>
      <w:bookmarkStart w:id="118" w:name="_Toc364776434"/>
      <w:bookmarkStart w:id="119" w:name="_Toc363055367"/>
      <w:bookmarkStart w:id="120" w:name="_Toc362621239"/>
      <w:bookmarkStart w:id="121" w:name="_Toc362620276"/>
      <w:r>
        <w:rPr>
          <w:rFonts w:hint="eastAsia" w:ascii="仿宋_GB2312" w:hAnsi="仿宋" w:eastAsia="仿宋_GB2312" w:cs="仿宋"/>
          <w:b w:val="0"/>
          <w:bCs w:val="0"/>
          <w:sz w:val="32"/>
          <w:szCs w:val="32"/>
        </w:rPr>
        <w:t>出租汽车服务管理信息系统（JT/T905）</w:t>
      </w:r>
    </w:p>
    <w:p w14:paraId="50E174F1">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出租汽车运营服务规范（GB/T22485）</w:t>
      </w:r>
    </w:p>
    <w:p w14:paraId="576C9ED0">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网络预约出租汽车运营服务规范（JT/T1068-2016）</w:t>
      </w:r>
    </w:p>
    <w:p w14:paraId="27D40E8A">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道路运输车辆卫星定位系统车载终端技术要求（JT/T794-2019）</w:t>
      </w:r>
      <w:bookmarkEnd w:id="114"/>
      <w:bookmarkEnd w:id="115"/>
      <w:bookmarkEnd w:id="116"/>
      <w:bookmarkEnd w:id="117"/>
      <w:bookmarkEnd w:id="118"/>
      <w:bookmarkEnd w:id="119"/>
      <w:bookmarkEnd w:id="120"/>
      <w:bookmarkEnd w:id="121"/>
      <w:bookmarkStart w:id="122" w:name="_Toc436227115"/>
      <w:bookmarkStart w:id="123" w:name="_Toc91709822"/>
      <w:bookmarkStart w:id="124" w:name="_Toc363055369"/>
      <w:bookmarkStart w:id="125" w:name="_Toc1880"/>
      <w:bookmarkStart w:id="126" w:name="_Toc6416"/>
      <w:bookmarkStart w:id="127" w:name="_Toc26826"/>
      <w:bookmarkStart w:id="128" w:name="_Toc404583662"/>
      <w:bookmarkStart w:id="129" w:name="_Toc2952"/>
      <w:bookmarkStart w:id="130" w:name="_Toc6359"/>
      <w:bookmarkStart w:id="131" w:name="_Toc7150"/>
      <w:bookmarkStart w:id="132" w:name="_Toc31100"/>
      <w:bookmarkStart w:id="133" w:name="_Toc364930889"/>
      <w:bookmarkStart w:id="134" w:name="_Toc362621241"/>
      <w:bookmarkStart w:id="135" w:name="_Toc5130"/>
      <w:bookmarkStart w:id="136" w:name="_Toc362620278"/>
      <w:bookmarkStart w:id="137" w:name="_Toc16583"/>
      <w:bookmarkStart w:id="138" w:name="_Toc24431"/>
      <w:bookmarkStart w:id="139" w:name="_Toc18547"/>
      <w:bookmarkStart w:id="140" w:name="_Toc364776436"/>
      <w:bookmarkStart w:id="141" w:name="_Toc15807"/>
      <w:bookmarkStart w:id="142" w:name="_Toc12576"/>
      <w:bookmarkStart w:id="143" w:name="_Toc4910"/>
      <w:bookmarkStart w:id="144" w:name="_Toc2091"/>
      <w:bookmarkStart w:id="145" w:name="_Toc362612488"/>
      <w:bookmarkStart w:id="146" w:name="_Toc31523"/>
      <w:bookmarkStart w:id="147" w:name="_Toc23530"/>
      <w:bookmarkStart w:id="148" w:name="_Toc17294"/>
    </w:p>
    <w:p w14:paraId="2401D58B">
      <w:pPr>
        <w:pStyle w:val="2"/>
        <w:overflowPunct w:val="0"/>
        <w:adjustRightInd w:val="0"/>
        <w:snapToGrid w:val="0"/>
        <w:spacing w:before="0" w:after="0" w:line="579" w:lineRule="exact"/>
        <w:rPr>
          <w:rFonts w:ascii="黑体" w:hAnsi="黑体" w:eastAsia="黑体" w:cs="黑体"/>
          <w:b w:val="0"/>
          <w:bCs w:val="0"/>
          <w:sz w:val="32"/>
          <w:szCs w:val="32"/>
        </w:rPr>
      </w:pPr>
      <w:r>
        <w:rPr>
          <w:rFonts w:hint="eastAsia" w:ascii="黑体" w:hAnsi="黑体" w:eastAsia="黑体" w:cs="黑体"/>
          <w:b w:val="0"/>
          <w:bCs w:val="0"/>
          <w:sz w:val="32"/>
          <w:szCs w:val="32"/>
        </w:rPr>
        <w:t>总体要求</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373188BF">
      <w:pPr>
        <w:pStyle w:val="3"/>
        <w:overflowPunct w:val="0"/>
        <w:adjustRightInd w:val="0"/>
        <w:snapToGrid w:val="0"/>
        <w:spacing w:before="0" w:after="0" w:line="579" w:lineRule="exact"/>
        <w:ind w:left="67" w:firstLine="0"/>
        <w:rPr>
          <w:rFonts w:ascii="黑体" w:hAnsi="黑体" w:cs="黑体"/>
          <w:b w:val="0"/>
          <w:bCs w:val="0"/>
          <w:sz w:val="32"/>
          <w:szCs w:val="32"/>
        </w:rPr>
      </w:pPr>
      <w:bookmarkStart w:id="149" w:name="_Toc403462049"/>
      <w:bookmarkStart w:id="150" w:name="_Toc91709823"/>
      <w:bookmarkStart w:id="151" w:name="_Toc404583664"/>
      <w:bookmarkStart w:id="152" w:name="_Toc404583551"/>
      <w:bookmarkStart w:id="153" w:name="_Toc27823"/>
      <w:bookmarkStart w:id="154" w:name="_Toc20850"/>
      <w:bookmarkStart w:id="155" w:name="_Toc420932305"/>
      <w:bookmarkStart w:id="156" w:name="_Toc436227117"/>
      <w:bookmarkStart w:id="157" w:name="_Toc420932015"/>
      <w:bookmarkStart w:id="158" w:name="_Toc15283"/>
      <w:bookmarkStart w:id="159" w:name="_Toc15267"/>
      <w:r>
        <w:rPr>
          <w:rFonts w:hint="eastAsia" w:ascii="黑体" w:hAnsi="黑体" w:cs="黑体"/>
          <w:b w:val="0"/>
          <w:bCs w:val="0"/>
          <w:sz w:val="32"/>
          <w:szCs w:val="32"/>
        </w:rPr>
        <w:t>安全性</w:t>
      </w:r>
      <w:bookmarkEnd w:id="149"/>
      <w:bookmarkEnd w:id="150"/>
      <w:bookmarkEnd w:id="151"/>
      <w:bookmarkEnd w:id="152"/>
      <w:bookmarkEnd w:id="153"/>
      <w:bookmarkEnd w:id="154"/>
      <w:bookmarkEnd w:id="155"/>
      <w:bookmarkEnd w:id="156"/>
      <w:bookmarkEnd w:id="157"/>
      <w:bookmarkEnd w:id="158"/>
      <w:bookmarkEnd w:id="159"/>
    </w:p>
    <w:p w14:paraId="33E269CA">
      <w:pPr>
        <w:pStyle w:val="2"/>
        <w:overflowPunct w:val="0"/>
        <w:adjustRightInd w:val="0"/>
        <w:snapToGrid w:val="0"/>
        <w:spacing w:before="0" w:after="0" w:line="579" w:lineRule="exact"/>
        <w:rPr>
          <w:rFonts w:ascii="黑体" w:hAnsi="黑体" w:eastAsia="黑体" w:cs="黑体"/>
          <w:b w:val="0"/>
          <w:bCs w:val="0"/>
          <w:sz w:val="32"/>
          <w:szCs w:val="32"/>
        </w:rPr>
      </w:pPr>
      <w:bookmarkStart w:id="160" w:name="_Toc15706"/>
      <w:bookmarkStart w:id="161" w:name="_Toc28026"/>
      <w:bookmarkStart w:id="162" w:name="_Toc907"/>
      <w:bookmarkStart w:id="163" w:name="_Toc31657"/>
      <w:bookmarkStart w:id="164" w:name="_Toc91709824"/>
      <w:r>
        <w:rPr>
          <w:rFonts w:hint="eastAsia" w:ascii="黑体" w:hAnsi="黑体" w:eastAsia="黑体" w:cs="黑体"/>
          <w:b w:val="0"/>
          <w:bCs w:val="0"/>
          <w:sz w:val="32"/>
          <w:szCs w:val="32"/>
        </w:rPr>
        <w:t>设备安全性</w:t>
      </w:r>
      <w:bookmarkEnd w:id="160"/>
      <w:bookmarkEnd w:id="161"/>
      <w:bookmarkEnd w:id="162"/>
      <w:bookmarkEnd w:id="163"/>
      <w:bookmarkEnd w:id="164"/>
    </w:p>
    <w:p w14:paraId="5A934A55">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对车载终端设备的任何操作与控制均不应引起车辆设备损坏及相关电气故障。</w:t>
      </w:r>
    </w:p>
    <w:p w14:paraId="7F131446">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车载终端设备与外设连接后，不应对各自设备及工作特性造成影响和干扰。</w:t>
      </w:r>
    </w:p>
    <w:p w14:paraId="6C177A04">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应在车载终端设备适当部位采用防护措施，防止如数据存储器等重要器件被更换或盗取。</w:t>
      </w:r>
    </w:p>
    <w:p w14:paraId="4AA51D22">
      <w:pPr>
        <w:pStyle w:val="2"/>
        <w:overflowPunct w:val="0"/>
        <w:adjustRightInd w:val="0"/>
        <w:snapToGrid w:val="0"/>
        <w:spacing w:before="0" w:after="0" w:line="579" w:lineRule="exact"/>
        <w:rPr>
          <w:rFonts w:ascii="黑体" w:hAnsi="黑体" w:eastAsia="黑体" w:cs="黑体"/>
          <w:b w:val="0"/>
          <w:bCs w:val="0"/>
          <w:sz w:val="32"/>
          <w:szCs w:val="32"/>
        </w:rPr>
      </w:pPr>
      <w:bookmarkStart w:id="165" w:name="_Toc20673"/>
      <w:bookmarkStart w:id="166" w:name="_Toc375"/>
      <w:bookmarkStart w:id="167" w:name="_Toc26154"/>
      <w:bookmarkStart w:id="168" w:name="_Toc91709825"/>
      <w:bookmarkStart w:id="169" w:name="_Toc22117"/>
      <w:r>
        <w:rPr>
          <w:rFonts w:hint="eastAsia" w:ascii="黑体" w:hAnsi="黑体" w:eastAsia="黑体" w:cs="黑体"/>
          <w:b w:val="0"/>
          <w:bCs w:val="0"/>
          <w:sz w:val="32"/>
          <w:szCs w:val="32"/>
        </w:rPr>
        <w:t>信息安全性</w:t>
      </w:r>
      <w:bookmarkEnd w:id="165"/>
      <w:bookmarkEnd w:id="166"/>
      <w:bookmarkEnd w:id="167"/>
      <w:bookmarkEnd w:id="168"/>
      <w:bookmarkEnd w:id="169"/>
    </w:p>
    <w:p w14:paraId="5DB4C99F">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车载终端设备应提供以下防止信息被恶意更改或删除的措施：</w:t>
      </w:r>
    </w:p>
    <w:p w14:paraId="4CF71CF8">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通过外围设备不能对原始信息进行改写或删除；</w:t>
      </w:r>
    </w:p>
    <w:p w14:paraId="3717469F">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重要参数应为只读，不允许人为更改、删除；</w:t>
      </w:r>
    </w:p>
    <w:p w14:paraId="1CF8C604">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特殊情况下的原始信息或重要参数设置，需经授权操作。</w:t>
      </w:r>
    </w:p>
    <w:p w14:paraId="7E026E5D">
      <w:pPr>
        <w:pStyle w:val="3"/>
        <w:overflowPunct w:val="0"/>
        <w:adjustRightInd w:val="0"/>
        <w:snapToGrid w:val="0"/>
        <w:spacing w:before="0" w:after="0" w:line="579" w:lineRule="exact"/>
        <w:ind w:left="67" w:firstLine="0"/>
        <w:rPr>
          <w:rFonts w:ascii="黑体" w:hAnsi="黑体" w:cs="黑体"/>
          <w:b w:val="0"/>
          <w:bCs w:val="0"/>
          <w:sz w:val="32"/>
          <w:szCs w:val="32"/>
        </w:rPr>
      </w:pPr>
      <w:bookmarkStart w:id="170" w:name="_Toc420932016"/>
      <w:bookmarkStart w:id="171" w:name="_Toc31099"/>
      <w:bookmarkStart w:id="172" w:name="_Toc404583552"/>
      <w:bookmarkStart w:id="173" w:name="_Toc403462050"/>
      <w:bookmarkStart w:id="174" w:name="_Toc436227118"/>
      <w:bookmarkStart w:id="175" w:name="_Toc28963"/>
      <w:bookmarkStart w:id="176" w:name="_Toc91709826"/>
      <w:bookmarkStart w:id="177" w:name="_Toc11499"/>
      <w:bookmarkStart w:id="178" w:name="_Toc404583665"/>
      <w:bookmarkStart w:id="179" w:name="_Toc420932306"/>
      <w:bookmarkStart w:id="180" w:name="_Toc10803"/>
      <w:r>
        <w:rPr>
          <w:rFonts w:hint="eastAsia" w:ascii="黑体" w:hAnsi="黑体" w:cs="黑体"/>
          <w:b w:val="0"/>
          <w:bCs w:val="0"/>
          <w:sz w:val="32"/>
          <w:szCs w:val="32"/>
        </w:rPr>
        <w:t>可靠性</w:t>
      </w:r>
      <w:bookmarkEnd w:id="170"/>
      <w:bookmarkEnd w:id="171"/>
      <w:bookmarkEnd w:id="172"/>
      <w:bookmarkEnd w:id="173"/>
      <w:bookmarkEnd w:id="174"/>
      <w:bookmarkEnd w:id="175"/>
      <w:bookmarkEnd w:id="176"/>
      <w:bookmarkEnd w:id="177"/>
      <w:bookmarkEnd w:id="178"/>
      <w:bookmarkEnd w:id="179"/>
      <w:bookmarkEnd w:id="180"/>
    </w:p>
    <w:p w14:paraId="56CFAA30">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应设计为24h持续稳定工作，在正常运行时无需外部干预。突然断电后，已存储的数据不应出现丢失或修改现象。</w:t>
      </w:r>
    </w:p>
    <w:p w14:paraId="63104823">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设计使用寿命应大于8年，平均无故障时间(MTBF)应不小于15000h。</w:t>
      </w:r>
    </w:p>
    <w:p w14:paraId="0FB21831">
      <w:pPr>
        <w:pStyle w:val="3"/>
        <w:overflowPunct w:val="0"/>
        <w:adjustRightInd w:val="0"/>
        <w:snapToGrid w:val="0"/>
        <w:spacing w:before="0" w:after="0" w:line="579" w:lineRule="exact"/>
        <w:ind w:left="67" w:firstLine="0"/>
        <w:rPr>
          <w:rFonts w:ascii="黑体" w:hAnsi="黑体" w:cs="黑体"/>
          <w:b w:val="0"/>
          <w:bCs w:val="0"/>
          <w:sz w:val="32"/>
          <w:szCs w:val="32"/>
        </w:rPr>
      </w:pPr>
      <w:bookmarkStart w:id="181" w:name="_Toc436227119"/>
      <w:bookmarkStart w:id="182" w:name="_Toc16594"/>
      <w:bookmarkStart w:id="183" w:name="_Toc404583553"/>
      <w:bookmarkStart w:id="184" w:name="_Toc91709827"/>
      <w:bookmarkStart w:id="185" w:name="_Toc4299"/>
      <w:bookmarkStart w:id="186" w:name="_Toc420932017"/>
      <w:bookmarkStart w:id="187" w:name="_Toc404583666"/>
      <w:bookmarkStart w:id="188" w:name="_Toc19063"/>
      <w:bookmarkStart w:id="189" w:name="_Toc28602"/>
      <w:bookmarkStart w:id="190" w:name="_Toc403462051"/>
      <w:bookmarkStart w:id="191" w:name="_Toc420932307"/>
      <w:bookmarkStart w:id="192" w:name="_Toc362612489"/>
      <w:bookmarkStart w:id="193" w:name="_Toc362621242"/>
      <w:bookmarkStart w:id="194" w:name="_Toc362620279"/>
      <w:r>
        <w:rPr>
          <w:rFonts w:hint="eastAsia" w:ascii="黑体" w:hAnsi="黑体" w:cs="黑体"/>
          <w:b w:val="0"/>
          <w:bCs w:val="0"/>
          <w:sz w:val="32"/>
          <w:szCs w:val="32"/>
        </w:rPr>
        <w:t>防护性</w:t>
      </w:r>
      <w:bookmarkEnd w:id="181"/>
      <w:bookmarkEnd w:id="182"/>
      <w:bookmarkEnd w:id="183"/>
      <w:bookmarkEnd w:id="184"/>
      <w:bookmarkEnd w:id="185"/>
      <w:bookmarkEnd w:id="186"/>
      <w:bookmarkEnd w:id="187"/>
      <w:bookmarkEnd w:id="188"/>
      <w:bookmarkEnd w:id="189"/>
      <w:bookmarkEnd w:id="190"/>
      <w:bookmarkEnd w:id="191"/>
    </w:p>
    <w:p w14:paraId="7A2770B4">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当主机不包含显示屏、读卡器时，机壳防护满足QC/T 413中IP53的等级要求；</w:t>
      </w:r>
    </w:p>
    <w:p w14:paraId="38C63124">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当主机包含显示器、读卡器等设备或其中之一时，机壳防护满足QC/T 413中IP43的等级要求。</w:t>
      </w:r>
    </w:p>
    <w:p w14:paraId="62C238A7">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外露接插件应装有防水塑胶套等或采取其他措施，具有防泼溅、淋水、渗水能力。</w:t>
      </w:r>
      <w:bookmarkStart w:id="195" w:name="_Toc15057"/>
      <w:bookmarkStart w:id="196" w:name="_Toc27954"/>
      <w:bookmarkStart w:id="197" w:name="_Toc91709828"/>
      <w:bookmarkStart w:id="198" w:name="_Toc7119"/>
      <w:bookmarkStart w:id="199" w:name="_Toc11633"/>
      <w:bookmarkStart w:id="200" w:name="_Toc436227120"/>
      <w:bookmarkStart w:id="201" w:name="_Toc404583554"/>
      <w:bookmarkStart w:id="202" w:name="_Toc404583667"/>
      <w:bookmarkStart w:id="203" w:name="_Toc420932308"/>
      <w:bookmarkStart w:id="204" w:name="_Toc403462052"/>
      <w:bookmarkStart w:id="205" w:name="_Toc420932018"/>
    </w:p>
    <w:p w14:paraId="1C3EE6F2">
      <w:pPr>
        <w:pStyle w:val="2"/>
        <w:overflowPunct w:val="0"/>
        <w:adjustRightInd w:val="0"/>
        <w:snapToGrid w:val="0"/>
        <w:spacing w:before="0" w:after="0" w:line="579" w:lineRule="exact"/>
        <w:rPr>
          <w:rFonts w:ascii="黑体" w:hAnsi="黑体" w:eastAsia="黑体" w:cs="黑体"/>
          <w:b w:val="0"/>
          <w:bCs w:val="0"/>
          <w:sz w:val="32"/>
          <w:szCs w:val="32"/>
        </w:rPr>
      </w:pPr>
      <w:r>
        <w:rPr>
          <w:rFonts w:hint="eastAsia" w:ascii="黑体" w:hAnsi="黑体" w:eastAsia="黑体" w:cs="黑体"/>
          <w:b w:val="0"/>
          <w:bCs w:val="0"/>
          <w:sz w:val="32"/>
          <w:szCs w:val="32"/>
        </w:rPr>
        <w:t>车载终端设备</w:t>
      </w:r>
      <w:bookmarkEnd w:id="195"/>
      <w:bookmarkEnd w:id="196"/>
      <w:bookmarkEnd w:id="197"/>
      <w:bookmarkEnd w:id="198"/>
      <w:bookmarkEnd w:id="199"/>
    </w:p>
    <w:p w14:paraId="43711FD2">
      <w:pPr>
        <w:pStyle w:val="3"/>
        <w:overflowPunct w:val="0"/>
        <w:adjustRightInd w:val="0"/>
        <w:snapToGrid w:val="0"/>
        <w:spacing w:before="0" w:after="0" w:line="579" w:lineRule="exact"/>
        <w:ind w:left="67" w:firstLine="0"/>
        <w:rPr>
          <w:rFonts w:ascii="黑体" w:hAnsi="黑体" w:cs="黑体"/>
          <w:b w:val="0"/>
          <w:bCs w:val="0"/>
          <w:sz w:val="32"/>
          <w:szCs w:val="32"/>
        </w:rPr>
      </w:pPr>
      <w:bookmarkStart w:id="206" w:name="_Toc436227124"/>
      <w:bookmarkStart w:id="207" w:name="_Toc16273"/>
      <w:bookmarkStart w:id="208" w:name="_Toc420932022"/>
      <w:bookmarkStart w:id="209" w:name="_Toc16793"/>
      <w:bookmarkStart w:id="210" w:name="_Toc91709829"/>
      <w:bookmarkStart w:id="211" w:name="_Toc403462056"/>
      <w:bookmarkStart w:id="212" w:name="_Toc404583558"/>
      <w:bookmarkStart w:id="213" w:name="_Toc5636"/>
      <w:bookmarkStart w:id="214" w:name="_Toc6450"/>
      <w:bookmarkStart w:id="215" w:name="_Toc420932312"/>
      <w:bookmarkStart w:id="216" w:name="_Toc404583671"/>
      <w:r>
        <w:rPr>
          <w:rFonts w:hint="eastAsia" w:ascii="黑体" w:hAnsi="黑体" w:cs="黑体"/>
          <w:b w:val="0"/>
          <w:bCs w:val="0"/>
          <w:sz w:val="32"/>
          <w:szCs w:val="32"/>
        </w:rPr>
        <w:t>组成</w:t>
      </w:r>
      <w:bookmarkEnd w:id="206"/>
      <w:bookmarkEnd w:id="207"/>
      <w:bookmarkEnd w:id="208"/>
      <w:bookmarkEnd w:id="209"/>
      <w:bookmarkEnd w:id="210"/>
      <w:bookmarkEnd w:id="211"/>
      <w:bookmarkEnd w:id="212"/>
      <w:bookmarkEnd w:id="213"/>
      <w:bookmarkEnd w:id="214"/>
      <w:bookmarkEnd w:id="215"/>
      <w:bookmarkEnd w:id="216"/>
    </w:p>
    <w:p w14:paraId="789B4F69">
      <w:pPr>
        <w:pStyle w:val="2"/>
        <w:overflowPunct w:val="0"/>
        <w:adjustRightInd w:val="0"/>
        <w:snapToGrid w:val="0"/>
        <w:spacing w:before="0" w:after="0" w:line="579" w:lineRule="exact"/>
        <w:rPr>
          <w:rFonts w:ascii="黑体" w:hAnsi="黑体" w:eastAsia="黑体" w:cs="黑体"/>
          <w:b w:val="0"/>
          <w:bCs w:val="0"/>
          <w:sz w:val="32"/>
          <w:szCs w:val="32"/>
        </w:rPr>
      </w:pPr>
      <w:bookmarkStart w:id="217" w:name="_Toc30990"/>
      <w:bookmarkStart w:id="218" w:name="_Toc19606"/>
      <w:bookmarkStart w:id="219" w:name="_Toc16041"/>
      <w:bookmarkStart w:id="220" w:name="_Toc91709830"/>
      <w:bookmarkStart w:id="221" w:name="_Toc28876"/>
      <w:r>
        <w:rPr>
          <w:rFonts w:hint="eastAsia" w:ascii="黑体" w:hAnsi="黑体" w:eastAsia="黑体" w:cs="黑体"/>
          <w:b w:val="0"/>
          <w:bCs w:val="0"/>
          <w:sz w:val="32"/>
          <w:szCs w:val="32"/>
        </w:rPr>
        <w:t>功能组成</w:t>
      </w:r>
      <w:bookmarkEnd w:id="217"/>
      <w:bookmarkEnd w:id="218"/>
      <w:bookmarkEnd w:id="219"/>
      <w:bookmarkEnd w:id="220"/>
      <w:bookmarkEnd w:id="221"/>
    </w:p>
    <w:p w14:paraId="64AE1DAB">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车载终端设备应包括微处理器、存储器、电气接口及其附属电路、实时时钟、卫星定位模块、通信传输模块、车辆状态信息采集模块等，同时满足以下要求：</w:t>
      </w:r>
    </w:p>
    <w:p w14:paraId="4D0A4969">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存储器分为程序存储器和数据存储器。程序存储器应满足固件当前及未来更新、扩展的空间需求。数据存储器应为非易失性存储器。无线传输异常时，应支持实时数据的本地存储；</w:t>
      </w:r>
    </w:p>
    <w:p w14:paraId="29212F74">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视频采集应至少同时支持2个通道(对外摄像和对内摄像)，音频采集应至少支持一路(对车内拾音)；</w:t>
      </w:r>
    </w:p>
    <w:p w14:paraId="09309256">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通信功能应支持4G以上无线通信网络传输机制下的多种通信模式；</w:t>
      </w:r>
    </w:p>
    <w:p w14:paraId="70F75F3D">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应支持单北斗定位模式；</w:t>
      </w:r>
    </w:p>
    <w:p w14:paraId="04838B1C">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应支持WIFI功能，方便进行设备运维；</w:t>
      </w:r>
    </w:p>
    <w:p w14:paraId="17039928">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应支持内置法拉电容或在车辆ACC点火装置关闭后，车载终端设备能够支持延迟断电，保证视频数据不会丢失；</w:t>
      </w:r>
    </w:p>
    <w:p w14:paraId="2BDC9A5F">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应支持内置陀螺仪；</w:t>
      </w:r>
    </w:p>
    <w:p w14:paraId="5035AD7B">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音视频存储应支持1张存储卡，单张不小于256G存储容量；</w:t>
      </w:r>
      <w:bookmarkStart w:id="222" w:name="_Toc13669"/>
      <w:bookmarkStart w:id="223" w:name="_Toc6060"/>
      <w:bookmarkStart w:id="224" w:name="_Toc23377"/>
      <w:bookmarkStart w:id="225" w:name="_Toc1749"/>
    </w:p>
    <w:p w14:paraId="592C544B">
      <w:pPr>
        <w:pStyle w:val="2"/>
        <w:overflowPunct w:val="0"/>
        <w:adjustRightInd w:val="0"/>
        <w:snapToGrid w:val="0"/>
        <w:spacing w:before="0" w:after="0" w:line="579" w:lineRule="exact"/>
        <w:rPr>
          <w:rFonts w:ascii="黑体" w:hAnsi="黑体" w:eastAsia="黑体" w:cs="黑体"/>
          <w:b w:val="0"/>
          <w:bCs w:val="0"/>
          <w:sz w:val="32"/>
          <w:szCs w:val="32"/>
        </w:rPr>
      </w:pPr>
      <w:bookmarkStart w:id="226" w:name="_Toc91709831"/>
      <w:r>
        <w:rPr>
          <w:rFonts w:hint="eastAsia" w:ascii="黑体" w:hAnsi="黑体" w:eastAsia="黑体" w:cs="黑体"/>
          <w:b w:val="0"/>
          <w:bCs w:val="0"/>
          <w:sz w:val="32"/>
          <w:szCs w:val="32"/>
        </w:rPr>
        <w:t>对外接口</w:t>
      </w:r>
      <w:bookmarkEnd w:id="222"/>
      <w:bookmarkEnd w:id="223"/>
      <w:bookmarkEnd w:id="224"/>
      <w:bookmarkEnd w:id="225"/>
      <w:bookmarkEnd w:id="226"/>
    </w:p>
    <w:p w14:paraId="2CD8D5DF">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车载终端设备应为基本外设提供接口并为扩展外设预留接口，至少满足以下要求：</w:t>
      </w:r>
    </w:p>
    <w:p w14:paraId="57C12B17">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RS232接口：≥1个，其中至少1个为全双工接口；</w:t>
      </w:r>
    </w:p>
    <w:p w14:paraId="2E2925DA">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USB 2.0 高速HOST接口：≥1个，用于记录数据的导出或设备维护；</w:t>
      </w:r>
    </w:p>
    <w:p w14:paraId="1C32530D">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数字量输入接口：≥2个，用于采集ACC ON、紧急按钮信息等；</w:t>
      </w:r>
    </w:p>
    <w:p w14:paraId="0CDF1350">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外接摄像机接口≥2个；</w:t>
      </w:r>
    </w:p>
    <w:p w14:paraId="7C263E30">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TF卡接口≥1个，用于音视频存储。</w:t>
      </w:r>
    </w:p>
    <w:p w14:paraId="36378BEB">
      <w:pPr>
        <w:pStyle w:val="2"/>
        <w:overflowPunct w:val="0"/>
        <w:adjustRightInd w:val="0"/>
        <w:snapToGrid w:val="0"/>
        <w:spacing w:before="0" w:after="0" w:line="579" w:lineRule="exact"/>
        <w:rPr>
          <w:rFonts w:ascii="黑体" w:hAnsi="黑体" w:eastAsia="黑体" w:cs="黑体"/>
          <w:b w:val="0"/>
          <w:bCs w:val="0"/>
          <w:sz w:val="32"/>
          <w:szCs w:val="32"/>
        </w:rPr>
      </w:pPr>
      <w:bookmarkStart w:id="227" w:name="_Toc20219"/>
      <w:bookmarkStart w:id="228" w:name="_Toc436227125"/>
      <w:bookmarkStart w:id="229" w:name="_Toc403462057"/>
      <w:bookmarkStart w:id="230" w:name="_Toc404583559"/>
      <w:bookmarkStart w:id="231" w:name="_Toc5677"/>
      <w:bookmarkStart w:id="232" w:name="_Toc91709832"/>
      <w:bookmarkStart w:id="233" w:name="_Toc420932023"/>
      <w:bookmarkStart w:id="234" w:name="_Toc420932313"/>
      <w:bookmarkStart w:id="235" w:name="_Toc27745"/>
      <w:bookmarkStart w:id="236" w:name="_Toc404583672"/>
      <w:bookmarkStart w:id="237" w:name="_Toc27384"/>
      <w:r>
        <w:rPr>
          <w:rFonts w:hint="eastAsia" w:ascii="黑体" w:hAnsi="黑体" w:eastAsia="黑体" w:cs="黑体"/>
          <w:b w:val="0"/>
          <w:bCs w:val="0"/>
          <w:sz w:val="32"/>
          <w:szCs w:val="32"/>
        </w:rPr>
        <w:t>外观</w:t>
      </w:r>
      <w:bookmarkEnd w:id="227"/>
      <w:bookmarkEnd w:id="228"/>
      <w:bookmarkEnd w:id="229"/>
      <w:bookmarkEnd w:id="230"/>
      <w:bookmarkEnd w:id="231"/>
      <w:bookmarkEnd w:id="232"/>
      <w:bookmarkEnd w:id="233"/>
      <w:bookmarkEnd w:id="234"/>
      <w:bookmarkEnd w:id="235"/>
      <w:bookmarkEnd w:id="236"/>
      <w:bookmarkEnd w:id="237"/>
    </w:p>
    <w:p w14:paraId="124259D9">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产品表面应无锈蚀、锈斑、裂纹、污迹、变形，镀涂层不应有起泡、龟裂、脱落，无明显划痕、毛剌，各组件表面应平整、光洁、无尖锐突出部；结构件与控制组件应完整，无机械损伤。</w:t>
      </w:r>
    </w:p>
    <w:p w14:paraId="28D319F3">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零部件应紧固无松动，接插件应配合良好。重要连接应选用具有专用螺纹的紧固件，并施加有效保护措施以避免人为轻易地拔、剪等损坏性操作。</w:t>
      </w:r>
    </w:p>
    <w:p w14:paraId="09DF1A17">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终端应有使用说明。产品的接口等部位应有文字、图形等标志，且满足耐久、醒目等要求，使用说明和标志中的文字应使用中文，根据需要也可以同时使用其它语言，但应保证中文在其它语言的上面（或左面）。</w:t>
      </w:r>
    </w:p>
    <w:p w14:paraId="0B4FEB6D">
      <w:pPr>
        <w:pStyle w:val="2"/>
        <w:overflowPunct w:val="0"/>
        <w:adjustRightInd w:val="0"/>
        <w:snapToGrid w:val="0"/>
        <w:spacing w:before="0" w:after="0" w:line="579" w:lineRule="exact"/>
        <w:rPr>
          <w:rFonts w:ascii="黑体" w:hAnsi="黑体" w:eastAsia="黑体" w:cs="黑体"/>
          <w:b w:val="0"/>
          <w:bCs w:val="0"/>
          <w:sz w:val="32"/>
          <w:szCs w:val="32"/>
        </w:rPr>
      </w:pPr>
      <w:bookmarkStart w:id="238" w:name="_Toc403462058"/>
      <w:bookmarkStart w:id="239" w:name="_Toc436227126"/>
      <w:bookmarkStart w:id="240" w:name="_Toc4251"/>
      <w:bookmarkStart w:id="241" w:name="_Toc404583673"/>
      <w:bookmarkStart w:id="242" w:name="_Toc6540"/>
      <w:bookmarkStart w:id="243" w:name="_Toc420932024"/>
      <w:bookmarkStart w:id="244" w:name="_Toc420932314"/>
      <w:bookmarkStart w:id="245" w:name="_Toc91709833"/>
      <w:bookmarkStart w:id="246" w:name="_Toc404583560"/>
      <w:bookmarkStart w:id="247" w:name="_Toc14497"/>
      <w:bookmarkStart w:id="248" w:name="_Toc381"/>
      <w:bookmarkStart w:id="249" w:name="_Toc339350837"/>
      <w:bookmarkStart w:id="250" w:name="_Toc337922815"/>
      <w:bookmarkStart w:id="251" w:name="_Toc361924491"/>
      <w:bookmarkStart w:id="252" w:name="_Ref332210292"/>
      <w:r>
        <w:rPr>
          <w:rFonts w:hint="eastAsia" w:ascii="黑体" w:hAnsi="黑体" w:eastAsia="黑体" w:cs="黑体"/>
          <w:b w:val="0"/>
          <w:bCs w:val="0"/>
          <w:sz w:val="32"/>
          <w:szCs w:val="32"/>
        </w:rPr>
        <w:t>尺寸</w:t>
      </w:r>
      <w:bookmarkEnd w:id="238"/>
      <w:bookmarkEnd w:id="239"/>
      <w:bookmarkEnd w:id="240"/>
      <w:bookmarkEnd w:id="241"/>
      <w:bookmarkEnd w:id="242"/>
      <w:bookmarkEnd w:id="243"/>
      <w:bookmarkEnd w:id="244"/>
      <w:bookmarkEnd w:id="245"/>
      <w:bookmarkEnd w:id="246"/>
      <w:bookmarkEnd w:id="247"/>
      <w:bookmarkEnd w:id="248"/>
    </w:p>
    <w:p w14:paraId="3982EF4E">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车载终端设备外形尺寸应设计合理，对外摄像头与主机应集成一体，高度集成，安装在车辆后视镜附近，尺寸合理，以避免遮挡司机视线，影响驾驶安全。</w:t>
      </w:r>
    </w:p>
    <w:p w14:paraId="0DE7B324">
      <w:pPr>
        <w:pStyle w:val="2"/>
        <w:overflowPunct w:val="0"/>
        <w:adjustRightInd w:val="0"/>
        <w:snapToGrid w:val="0"/>
        <w:spacing w:before="0" w:after="0" w:line="579" w:lineRule="exact"/>
        <w:rPr>
          <w:rFonts w:ascii="黑体" w:hAnsi="黑体" w:eastAsia="黑体" w:cs="黑体"/>
          <w:b w:val="0"/>
          <w:bCs w:val="0"/>
          <w:sz w:val="32"/>
          <w:szCs w:val="32"/>
        </w:rPr>
      </w:pPr>
      <w:bookmarkStart w:id="253" w:name="_Toc91709834"/>
      <w:r>
        <w:rPr>
          <w:rFonts w:hint="eastAsia" w:ascii="黑体" w:hAnsi="黑体" w:eastAsia="黑体" w:cs="黑体"/>
          <w:b w:val="0"/>
          <w:bCs w:val="0"/>
          <w:sz w:val="32"/>
          <w:szCs w:val="32"/>
        </w:rPr>
        <w:t>存储</w:t>
      </w:r>
      <w:bookmarkEnd w:id="253"/>
    </w:p>
    <w:p w14:paraId="665ADF03">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车载终端应配备存储SD或TF卡，存储卡容量不低于256GB，采用不低于class10标准，擦写次数不低于1500次，供应的存储卡应已经完成与车载终端的联调测试。</w:t>
      </w:r>
    </w:p>
    <w:bookmarkEnd w:id="249"/>
    <w:bookmarkEnd w:id="250"/>
    <w:bookmarkEnd w:id="251"/>
    <w:bookmarkEnd w:id="252"/>
    <w:p w14:paraId="1DC15646">
      <w:pPr>
        <w:pStyle w:val="3"/>
        <w:overflowPunct w:val="0"/>
        <w:adjustRightInd w:val="0"/>
        <w:snapToGrid w:val="0"/>
        <w:spacing w:before="0" w:after="0" w:line="579" w:lineRule="exact"/>
        <w:ind w:left="67" w:firstLine="0"/>
        <w:rPr>
          <w:rFonts w:ascii="黑体" w:hAnsi="黑体" w:cs="黑体"/>
          <w:b w:val="0"/>
          <w:bCs w:val="0"/>
          <w:sz w:val="32"/>
          <w:szCs w:val="32"/>
        </w:rPr>
      </w:pPr>
      <w:bookmarkStart w:id="254" w:name="_Toc404583675"/>
      <w:bookmarkStart w:id="255" w:name="_Toc436227128"/>
      <w:bookmarkStart w:id="256" w:name="_Toc12367"/>
      <w:bookmarkStart w:id="257" w:name="_Toc404583562"/>
      <w:bookmarkStart w:id="258" w:name="_Toc420932026"/>
      <w:bookmarkStart w:id="259" w:name="_Toc420932316"/>
      <w:bookmarkStart w:id="260" w:name="_Toc18828"/>
      <w:bookmarkStart w:id="261" w:name="_Toc3082"/>
      <w:bookmarkStart w:id="262" w:name="_Toc28837"/>
      <w:bookmarkStart w:id="263" w:name="_Toc91709835"/>
      <w:bookmarkStart w:id="264" w:name="_Toc403462060"/>
      <w:r>
        <w:rPr>
          <w:rFonts w:hint="eastAsia" w:ascii="黑体" w:hAnsi="黑体" w:cs="黑体"/>
          <w:b w:val="0"/>
          <w:bCs w:val="0"/>
          <w:sz w:val="32"/>
          <w:szCs w:val="32"/>
        </w:rPr>
        <w:t>功能</w:t>
      </w:r>
      <w:bookmarkEnd w:id="254"/>
      <w:bookmarkEnd w:id="255"/>
      <w:bookmarkEnd w:id="256"/>
      <w:bookmarkEnd w:id="257"/>
      <w:bookmarkEnd w:id="258"/>
      <w:bookmarkEnd w:id="259"/>
      <w:bookmarkEnd w:id="260"/>
      <w:bookmarkEnd w:id="261"/>
      <w:bookmarkEnd w:id="262"/>
      <w:bookmarkEnd w:id="263"/>
      <w:bookmarkEnd w:id="264"/>
    </w:p>
    <w:p w14:paraId="7E40BEBF">
      <w:pPr>
        <w:pStyle w:val="2"/>
        <w:overflowPunct w:val="0"/>
        <w:adjustRightInd w:val="0"/>
        <w:snapToGrid w:val="0"/>
        <w:spacing w:before="0" w:after="0" w:line="579" w:lineRule="exact"/>
        <w:rPr>
          <w:rFonts w:ascii="黑体" w:hAnsi="黑体" w:eastAsia="黑体" w:cs="黑体"/>
          <w:b w:val="0"/>
          <w:bCs w:val="0"/>
          <w:sz w:val="32"/>
          <w:szCs w:val="32"/>
        </w:rPr>
      </w:pPr>
      <w:bookmarkStart w:id="265" w:name="_Toc91709836"/>
      <w:bookmarkStart w:id="266" w:name="_Toc32088"/>
      <w:bookmarkStart w:id="267" w:name="_Toc18395"/>
      <w:bookmarkStart w:id="268" w:name="_Toc25558"/>
      <w:bookmarkStart w:id="269" w:name="_Toc4217"/>
      <w:r>
        <w:rPr>
          <w:rFonts w:hint="eastAsia" w:ascii="黑体" w:hAnsi="黑体" w:eastAsia="黑体" w:cs="黑体"/>
          <w:b w:val="0"/>
          <w:bCs w:val="0"/>
          <w:sz w:val="32"/>
          <w:szCs w:val="32"/>
        </w:rPr>
        <w:t>开启</w:t>
      </w:r>
      <w:bookmarkEnd w:id="265"/>
      <w:bookmarkEnd w:id="266"/>
      <w:bookmarkEnd w:id="267"/>
      <w:bookmarkEnd w:id="268"/>
      <w:bookmarkEnd w:id="269"/>
    </w:p>
    <w:p w14:paraId="62D6A0B5">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应支持电源检测，当车辆主电源开启后自动开启，支持自动重启和由平台控制的远程重启。</w:t>
      </w:r>
    </w:p>
    <w:p w14:paraId="3B55B058">
      <w:pPr>
        <w:pStyle w:val="2"/>
        <w:overflowPunct w:val="0"/>
        <w:adjustRightInd w:val="0"/>
        <w:snapToGrid w:val="0"/>
        <w:spacing w:before="0" w:after="0" w:line="579" w:lineRule="exact"/>
        <w:rPr>
          <w:rFonts w:ascii="黑体" w:hAnsi="黑体" w:eastAsia="黑体" w:cs="黑体"/>
          <w:b w:val="0"/>
          <w:bCs w:val="0"/>
          <w:sz w:val="32"/>
          <w:szCs w:val="32"/>
        </w:rPr>
      </w:pPr>
      <w:bookmarkStart w:id="270" w:name="_Toc20738"/>
      <w:bookmarkStart w:id="271" w:name="_Toc91709837"/>
      <w:bookmarkStart w:id="272" w:name="_Toc8199"/>
      <w:bookmarkStart w:id="273" w:name="_Toc7543"/>
      <w:bookmarkStart w:id="274" w:name="_Toc16086"/>
      <w:r>
        <w:rPr>
          <w:rFonts w:hint="eastAsia" w:ascii="黑体" w:hAnsi="黑体" w:eastAsia="黑体" w:cs="黑体"/>
          <w:b w:val="0"/>
          <w:bCs w:val="0"/>
          <w:sz w:val="32"/>
          <w:szCs w:val="32"/>
        </w:rPr>
        <w:t>自检</w:t>
      </w:r>
      <w:bookmarkEnd w:id="270"/>
      <w:bookmarkEnd w:id="271"/>
      <w:bookmarkEnd w:id="272"/>
      <w:bookmarkEnd w:id="273"/>
      <w:bookmarkEnd w:id="274"/>
    </w:p>
    <w:p w14:paraId="1EA73500">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应具备自检功能。设备开机、重启及平台下发相应指令时应进行自检，生成自检报告并上传至平台。出现故障能判断主要故障类型，并通过信号灯表示当前主要状态。自检项目应至少包括：</w:t>
      </w:r>
    </w:p>
    <w:p w14:paraId="31B0C74E">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电源状态；</w:t>
      </w:r>
    </w:p>
    <w:p w14:paraId="717C0E12">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设备状态：摄像机等相关设备状态；</w:t>
      </w:r>
    </w:p>
    <w:p w14:paraId="2503D1E6">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工作状态：卫星定位状态、无线通信状态。</w:t>
      </w:r>
    </w:p>
    <w:p w14:paraId="50179CE8">
      <w:pPr>
        <w:pStyle w:val="2"/>
        <w:overflowPunct w:val="0"/>
        <w:adjustRightInd w:val="0"/>
        <w:snapToGrid w:val="0"/>
        <w:spacing w:before="0" w:after="0" w:line="579" w:lineRule="exact"/>
        <w:rPr>
          <w:rFonts w:ascii="黑体" w:hAnsi="黑体" w:eastAsia="黑体" w:cs="黑体"/>
          <w:b w:val="0"/>
          <w:bCs w:val="0"/>
          <w:sz w:val="32"/>
          <w:szCs w:val="32"/>
        </w:rPr>
      </w:pPr>
      <w:bookmarkStart w:id="275" w:name="_Toc2910"/>
      <w:bookmarkStart w:id="276" w:name="_Toc1847"/>
      <w:bookmarkStart w:id="277" w:name="_Toc91709838"/>
      <w:bookmarkStart w:id="278" w:name="_Toc21161"/>
      <w:bookmarkStart w:id="279" w:name="_Toc4086"/>
      <w:r>
        <w:rPr>
          <w:rFonts w:hint="eastAsia" w:ascii="黑体" w:hAnsi="黑体" w:eastAsia="黑体" w:cs="黑体"/>
          <w:b w:val="0"/>
          <w:bCs w:val="0"/>
          <w:sz w:val="32"/>
          <w:szCs w:val="32"/>
        </w:rPr>
        <w:t>定位功能</w:t>
      </w:r>
      <w:bookmarkEnd w:id="275"/>
      <w:bookmarkEnd w:id="276"/>
      <w:bookmarkEnd w:id="277"/>
      <w:bookmarkEnd w:id="278"/>
      <w:bookmarkEnd w:id="279"/>
    </w:p>
    <w:p w14:paraId="13833F16">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定位功能应满足以下要求：</w:t>
      </w:r>
    </w:p>
    <w:p w14:paraId="6158410C">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应提供实时时间、经度、纬度、速度、高程和方向等定位状态信息，可存储到本地，同时通过无线通信方式上传至平台；</w:t>
      </w:r>
    </w:p>
    <w:p w14:paraId="11AF9A8D">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支持位置报告信息的盲区补报，当无法注册到所在地的无线网络时，应以先进先出方式本地至少缓存10000笔位置汇报信息，至注册到无线网络时一并传送。当保存数据超过最大容量，按时间顺序依次作丢弃处理；</w:t>
      </w:r>
    </w:p>
    <w:p w14:paraId="63C600E2">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当车辆熄火后，终端处于休眠状态时，应以一定间隔上传定位信息，且时间、距离的间隔可由平台设定；</w:t>
      </w:r>
    </w:p>
    <w:p w14:paraId="6F5FE7B0">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可自动对报警车辆或重点车辆按平台设定的定位方式及间隔上传定位数据；</w:t>
      </w:r>
    </w:p>
    <w:p w14:paraId="7520A567">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根据平台的指令，立即返回位置信息并进行车辆跟踪；</w:t>
      </w:r>
    </w:p>
    <w:p w14:paraId="6385070D">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定位功能应符合以下技术要求：</w:t>
      </w:r>
    </w:p>
    <w:p w14:paraId="6504D549">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1）定时报送：在行驶状态下，最小报送时间间隔不大于3s，最大报送时间间隔不大于60s；</w:t>
      </w:r>
    </w:p>
    <w:p w14:paraId="4117724E">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2）定距报送：在行驶状态下，最小报送距离不大于50m，最大报送距离不大于1000m；</w:t>
      </w:r>
    </w:p>
    <w:p w14:paraId="773BE32A">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3）定时定距报送：在行驶状态下，终端可按平台设置的时间、距离间隔上报定位数据；</w:t>
      </w:r>
    </w:p>
    <w:p w14:paraId="1E3D8FAA">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4）实时定位：从终端收到平台下发的实时定位请求到终端应答，时间不大于10s。</w:t>
      </w:r>
    </w:p>
    <w:p w14:paraId="792986E9">
      <w:pPr>
        <w:pStyle w:val="2"/>
        <w:overflowPunct w:val="0"/>
        <w:adjustRightInd w:val="0"/>
        <w:snapToGrid w:val="0"/>
        <w:spacing w:before="0" w:after="0" w:line="579" w:lineRule="exact"/>
        <w:rPr>
          <w:rFonts w:ascii="黑体" w:hAnsi="黑体" w:eastAsia="黑体" w:cs="黑体"/>
          <w:b w:val="0"/>
          <w:bCs w:val="0"/>
          <w:sz w:val="32"/>
          <w:szCs w:val="32"/>
        </w:rPr>
      </w:pPr>
      <w:bookmarkStart w:id="280" w:name="_Toc13739"/>
      <w:bookmarkStart w:id="281" w:name="_Toc11297"/>
      <w:bookmarkStart w:id="282" w:name="_Toc91709839"/>
      <w:bookmarkStart w:id="283" w:name="_Toc21296"/>
      <w:bookmarkStart w:id="284" w:name="_Toc8482"/>
      <w:r>
        <w:rPr>
          <w:rFonts w:hint="eastAsia" w:ascii="黑体" w:hAnsi="黑体" w:eastAsia="黑体" w:cs="黑体"/>
          <w:b w:val="0"/>
          <w:bCs w:val="0"/>
          <w:sz w:val="32"/>
          <w:szCs w:val="32"/>
        </w:rPr>
        <w:t>视频功能</w:t>
      </w:r>
      <w:bookmarkEnd w:id="280"/>
      <w:bookmarkEnd w:id="281"/>
      <w:bookmarkEnd w:id="282"/>
      <w:bookmarkEnd w:id="283"/>
      <w:bookmarkEnd w:id="284"/>
    </w:p>
    <w:p w14:paraId="0B6FB092">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a）应具有音视频信息采集、压缩、存储、远程调用及检索上传功能；</w:t>
      </w:r>
    </w:p>
    <w:p w14:paraId="400DE860">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支持通过USB接口或存储卡导出视频数据；</w:t>
      </w:r>
    </w:p>
    <w:p w14:paraId="2518B591">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支持平台控制和事件触发方式实现视频信息的实时上传功能，视频数据应与位置、速度、方向、时间等卫星定位信息关联；</w:t>
      </w:r>
    </w:p>
    <w:p w14:paraId="153BD06A">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支持手持设备查询、调取和回放视频数据。</w:t>
      </w:r>
    </w:p>
    <w:p w14:paraId="727A6467">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b）音视频信息采集应满足以下技术要求：</w:t>
      </w:r>
    </w:p>
    <w:p w14:paraId="41BBB041">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至少支持2路摄像头同时录制以及独立录制；</w:t>
      </w:r>
    </w:p>
    <w:p w14:paraId="6F5ECE15">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视频中应叠加相应的车辆等信息，如车牌号，时间、位置、速度等；</w:t>
      </w:r>
    </w:p>
    <w:p w14:paraId="1C235694">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至少支持2路摄像头可分别设置多种成像分辨率，至少应支持1280*720；</w:t>
      </w:r>
    </w:p>
    <w:p w14:paraId="2B08E64B">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视频采集编码格式应为H.264或H.265；</w:t>
      </w:r>
    </w:p>
    <w:p w14:paraId="06CCD24E">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存储方式：存储于车载终端设备数据存储器中；</w:t>
      </w:r>
    </w:p>
    <w:p w14:paraId="5C8119AE">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bookmarkStart w:id="285" w:name="OLE_LINK1"/>
      <w:r>
        <w:rPr>
          <w:rFonts w:hint="eastAsia" w:ascii="仿宋_GB2312" w:hAnsi="仿宋" w:eastAsia="仿宋_GB2312" w:cs="仿宋"/>
          <w:b w:val="0"/>
          <w:bCs w:val="0"/>
          <w:sz w:val="32"/>
          <w:szCs w:val="32"/>
        </w:rPr>
        <w:t>存储容量：对外视频分辨率应不低于1920*1080分辨率，对内视频应不低于1280*720分辨率、15帧/秒下同时存储视频数据，存储时间长度对车外不少于7*16小时，对车内不少于7*16小时的数据；</w:t>
      </w:r>
    </w:p>
    <w:bookmarkEnd w:id="285"/>
    <w:p w14:paraId="16651F16">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支持对视频数据添加和删除标记，有标记的视频不允许被覆盖；</w:t>
      </w:r>
    </w:p>
    <w:p w14:paraId="1A393D35">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支持录像预录功能，可保存在报警或其他传感器信号触发时刻之前1h内的录像数据；</w:t>
      </w:r>
    </w:p>
    <w:p w14:paraId="7C23AFC4">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支持双码流可选上传；</w:t>
      </w:r>
    </w:p>
    <w:p w14:paraId="411F6D0E">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支持视频数据锁存功能，在遇到交通事故、司乘人员纠纷、投诉等情况下，应能够对车外和车内视频数据进行锁存，并授权查看；</w:t>
      </w:r>
    </w:p>
    <w:p w14:paraId="0DD87F66">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摄像头应能自动调整白平衡，自动背光补偿调整功能，自动彩色/黑白转换模式；</w:t>
      </w:r>
    </w:p>
    <w:p w14:paraId="13B632B0">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断电后录像时长不丢录像；</w:t>
      </w:r>
    </w:p>
    <w:p w14:paraId="56731CB3">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支持碰撞锁存录像。</w:t>
      </w:r>
    </w:p>
    <w:p w14:paraId="35890802">
      <w:pPr>
        <w:pStyle w:val="2"/>
        <w:overflowPunct w:val="0"/>
        <w:adjustRightInd w:val="0"/>
        <w:snapToGrid w:val="0"/>
        <w:spacing w:before="0" w:after="0" w:line="579" w:lineRule="exact"/>
        <w:rPr>
          <w:rFonts w:ascii="黑体" w:hAnsi="黑体" w:eastAsia="黑体" w:cs="黑体"/>
          <w:b w:val="0"/>
          <w:bCs w:val="0"/>
          <w:sz w:val="32"/>
          <w:szCs w:val="32"/>
        </w:rPr>
      </w:pPr>
      <w:bookmarkStart w:id="286" w:name="_Toc1393"/>
      <w:bookmarkStart w:id="287" w:name="_Toc9167"/>
      <w:bookmarkStart w:id="288" w:name="_Toc91709840"/>
      <w:bookmarkStart w:id="289" w:name="_Toc9446"/>
      <w:bookmarkStart w:id="290" w:name="_Toc16236"/>
      <w:r>
        <w:rPr>
          <w:rFonts w:hint="eastAsia" w:ascii="黑体" w:hAnsi="黑体" w:eastAsia="黑体" w:cs="黑体"/>
          <w:b w:val="0"/>
          <w:bCs w:val="0"/>
          <w:sz w:val="32"/>
          <w:szCs w:val="32"/>
        </w:rPr>
        <w:t>图像功能</w:t>
      </w:r>
      <w:bookmarkEnd w:id="286"/>
      <w:bookmarkEnd w:id="287"/>
      <w:bookmarkEnd w:id="288"/>
      <w:bookmarkEnd w:id="289"/>
      <w:bookmarkEnd w:id="290"/>
    </w:p>
    <w:p w14:paraId="137B4E91">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bookmarkStart w:id="291" w:name="OLE_LINK2"/>
      <w:r>
        <w:rPr>
          <w:rFonts w:hint="eastAsia" w:ascii="仿宋_GB2312" w:hAnsi="仿宋" w:eastAsia="仿宋_GB2312" w:cs="仿宋"/>
          <w:b w:val="0"/>
          <w:bCs w:val="0"/>
          <w:sz w:val="32"/>
          <w:szCs w:val="32"/>
        </w:rPr>
        <w:t>a)应具有图片信息采集及存储功能:</w:t>
      </w:r>
    </w:p>
    <w:p w14:paraId="5C9E8949">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支持平台控制、定时和事件触发方式实现图像信息的采集、存储、上传及检索上传功能；</w:t>
      </w:r>
    </w:p>
    <w:p w14:paraId="73DD49AD">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支持通过USB接口对图像信息的导出；</w:t>
      </w:r>
    </w:p>
    <w:p w14:paraId="778245F5">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图片数据应与位置、速度、方向、时间等卫星定位信息叠加并与业务信息关联；</w:t>
      </w:r>
    </w:p>
    <w:p w14:paraId="1EC00F7E">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车辆紧急报警应自动拍摄图片。</w:t>
      </w:r>
    </w:p>
    <w:p w14:paraId="454A73EC">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b）图像信息采集应满足以下技术要求：</w:t>
      </w:r>
    </w:p>
    <w:p w14:paraId="2BE4B218">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至少支持2路摄像头同时抓拍及独立抓拍；</w:t>
      </w:r>
    </w:p>
    <w:p w14:paraId="454C6A02">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图片中应附加相应的车辆信息，如车牌号，时间，位置，速度等数据；</w:t>
      </w:r>
    </w:p>
    <w:p w14:paraId="28BA8F05">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可设置多种成像分辨率，至少支持704*576；</w:t>
      </w:r>
    </w:p>
    <w:p w14:paraId="7CDB4457">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 xml:space="preserve">至少支持以JPEG格式存储图像； </w:t>
      </w:r>
    </w:p>
    <w:p w14:paraId="06B6E027">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存储容量：以先进先出方式至少可存储2000张图像；</w:t>
      </w:r>
    </w:p>
    <w:p w14:paraId="5E1519EF">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支持对图像数据添加和删除标记，有标记的图像不允许被覆盖。</w:t>
      </w:r>
    </w:p>
    <w:p w14:paraId="0A8E01D7">
      <w:pPr>
        <w:pStyle w:val="2"/>
        <w:overflowPunct w:val="0"/>
        <w:adjustRightInd w:val="0"/>
        <w:snapToGrid w:val="0"/>
        <w:spacing w:before="0" w:after="0" w:line="579" w:lineRule="exact"/>
        <w:rPr>
          <w:rFonts w:ascii="黑体" w:hAnsi="黑体" w:eastAsia="黑体" w:cs="黑体"/>
          <w:b w:val="0"/>
          <w:bCs w:val="0"/>
          <w:sz w:val="32"/>
          <w:szCs w:val="32"/>
        </w:rPr>
      </w:pPr>
      <w:bookmarkStart w:id="292" w:name="_Toc91709841"/>
      <w:bookmarkStart w:id="293" w:name="_Toc28075"/>
      <w:bookmarkStart w:id="294" w:name="_Toc23276"/>
      <w:bookmarkStart w:id="295" w:name="_Toc30320"/>
      <w:bookmarkStart w:id="296" w:name="_Toc28261"/>
      <w:r>
        <w:rPr>
          <w:rFonts w:hint="eastAsia" w:ascii="黑体" w:hAnsi="黑体" w:eastAsia="黑体" w:cs="黑体"/>
          <w:b w:val="0"/>
          <w:bCs w:val="0"/>
          <w:sz w:val="32"/>
          <w:szCs w:val="32"/>
        </w:rPr>
        <w:t>对讲监听</w:t>
      </w:r>
      <w:bookmarkEnd w:id="292"/>
      <w:bookmarkEnd w:id="293"/>
      <w:bookmarkEnd w:id="294"/>
      <w:bookmarkEnd w:id="295"/>
      <w:bookmarkEnd w:id="296"/>
    </w:p>
    <w:p w14:paraId="021C76D0">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应支持远程中心与车载终端设备通过对讲与监听功能实现远程联系，并满足以下要求：</w:t>
      </w:r>
    </w:p>
    <w:p w14:paraId="338D93B1">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平台下发对讲指令，管理人员与驾驶员可以互相通话；</w:t>
      </w:r>
    </w:p>
    <w:p w14:paraId="727E6357">
      <w:pPr>
        <w:pStyle w:val="2"/>
        <w:overflowPunct w:val="0"/>
        <w:adjustRightInd w:val="0"/>
        <w:snapToGrid w:val="0"/>
        <w:spacing w:before="0" w:after="0" w:line="579" w:lineRule="exact"/>
        <w:ind w:firstLine="640" w:firstLineChars="200"/>
        <w:rPr>
          <w:rFonts w:ascii="仿宋" w:hAnsi="仿宋" w:eastAsia="仿宋" w:cs="仿宋"/>
          <w:b w:val="0"/>
          <w:bCs w:val="0"/>
          <w:sz w:val="32"/>
          <w:szCs w:val="32"/>
        </w:rPr>
      </w:pPr>
      <w:r>
        <w:rPr>
          <w:rFonts w:hint="eastAsia" w:ascii="仿宋_GB2312" w:hAnsi="仿宋" w:eastAsia="仿宋_GB2312" w:cs="仿宋"/>
          <w:b w:val="0"/>
          <w:bCs w:val="0"/>
          <w:sz w:val="32"/>
          <w:szCs w:val="32"/>
        </w:rPr>
        <w:t>平台下发监听指令，管理人员可以听到车内情况，车载终端不应有任何表现，监听时扬声器应关闭</w:t>
      </w:r>
      <w:r>
        <w:rPr>
          <w:rFonts w:hint="eastAsia" w:ascii="仿宋" w:hAnsi="仿宋" w:eastAsia="仿宋" w:cs="仿宋"/>
          <w:b w:val="0"/>
          <w:bCs w:val="0"/>
          <w:sz w:val="32"/>
          <w:szCs w:val="32"/>
        </w:rPr>
        <w:t>。</w:t>
      </w:r>
    </w:p>
    <w:p w14:paraId="2211E8D4">
      <w:pPr>
        <w:pStyle w:val="2"/>
        <w:overflowPunct w:val="0"/>
        <w:adjustRightInd w:val="0"/>
        <w:snapToGrid w:val="0"/>
        <w:spacing w:before="0" w:after="0" w:line="579" w:lineRule="exact"/>
        <w:rPr>
          <w:rFonts w:ascii="黑体" w:hAnsi="黑体" w:eastAsia="黑体" w:cs="黑体"/>
          <w:b w:val="0"/>
          <w:bCs w:val="0"/>
          <w:sz w:val="32"/>
          <w:szCs w:val="32"/>
        </w:rPr>
      </w:pPr>
      <w:bookmarkStart w:id="297" w:name="_Toc17904"/>
      <w:bookmarkStart w:id="298" w:name="_Toc1500"/>
      <w:bookmarkStart w:id="299" w:name="_Toc30595"/>
      <w:bookmarkStart w:id="300" w:name="_Toc14764"/>
      <w:bookmarkStart w:id="301" w:name="_Toc91709842"/>
      <w:r>
        <w:rPr>
          <w:rFonts w:hint="eastAsia" w:ascii="黑体" w:hAnsi="黑体" w:eastAsia="黑体" w:cs="黑体"/>
          <w:b w:val="0"/>
          <w:bCs w:val="0"/>
          <w:sz w:val="32"/>
          <w:szCs w:val="32"/>
        </w:rPr>
        <w:t>警示提醒</w:t>
      </w:r>
      <w:bookmarkEnd w:id="297"/>
      <w:bookmarkEnd w:id="298"/>
      <w:bookmarkEnd w:id="299"/>
      <w:bookmarkEnd w:id="300"/>
      <w:bookmarkEnd w:id="301"/>
    </w:p>
    <w:p w14:paraId="022845A6">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应支持平台设置对主要参数、数据、状态等进行监控，判断异常并进行报警与警示。触发警示时应向平台上传警示信息，能够接收平台指令取消警示。</w:t>
      </w:r>
    </w:p>
    <w:p w14:paraId="40465357">
      <w:pPr>
        <w:pStyle w:val="2"/>
        <w:overflowPunct w:val="0"/>
        <w:adjustRightInd w:val="0"/>
        <w:snapToGrid w:val="0"/>
        <w:spacing w:before="0" w:after="0" w:line="579" w:lineRule="exact"/>
        <w:ind w:firstLine="640" w:firstLineChars="200"/>
        <w:rPr>
          <w:rFonts w:ascii="仿宋" w:hAnsi="仿宋" w:eastAsia="仿宋" w:cs="仿宋"/>
          <w:b w:val="0"/>
          <w:bCs w:val="0"/>
          <w:sz w:val="32"/>
          <w:szCs w:val="32"/>
        </w:rPr>
      </w:pPr>
      <w:r>
        <w:rPr>
          <w:rFonts w:hint="eastAsia" w:ascii="仿宋_GB2312" w:hAnsi="仿宋" w:eastAsia="仿宋_GB2312" w:cs="仿宋"/>
          <w:b w:val="0"/>
          <w:bCs w:val="0"/>
          <w:sz w:val="32"/>
          <w:szCs w:val="32"/>
        </w:rPr>
        <w:t>警示功能分为人工报警与自动警示：</w:t>
      </w:r>
    </w:p>
    <w:p w14:paraId="7B5891CF">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a）人工报警是驾驶员根据现场实际情况触发的报警，当发生紧急情况，驾驶员通过触动人工报警按钮向平台报警。按下报警按钮时，立即向平台发出报警信息，并自动录制视频信息，定时拍摄图片信息。平台可根据具体情况选择启动音视频数据实时无线传输或语音监控。当平台下发指令后，人工报警应结束；人工报警装置应当具备自动检测功能，在出现异常时上报到后台，方便维护管理，保障人工报警系统正常工作。</w:t>
      </w:r>
    </w:p>
    <w:p w14:paraId="6E6C1D2D">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b）自动警示是驾驶员无需进行任何操作，根据设备预置或平台设置条件触发，应包括：</w:t>
      </w:r>
    </w:p>
    <w:p w14:paraId="1B2D696E">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超速警示：可根据预设的速度阈值，如车辆到达预设限速值，将车辆超速信息发送到平台；</w:t>
      </w:r>
    </w:p>
    <w:p w14:paraId="45B25B31">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区域警示：应存储有不少于24个多边形或圆形区域，当车辆驶入禁入区域或驶出禁出区域时触发，监控区域可由平台远程设置；同时可以设定区域速度阈值，进行区域超速管理；</w:t>
      </w:r>
    </w:p>
    <w:p w14:paraId="4204FFDE">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电瓶欠压警示：检测车辆电瓶电压低于预设值时触发，同时终端须停止从车辆电瓶取电；</w:t>
      </w:r>
    </w:p>
    <w:p w14:paraId="1A2C0239">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设备故障警示：当车载终端设备及与车载终端设备连接的外部设备工作异常时触发。</w:t>
      </w:r>
    </w:p>
    <w:p w14:paraId="5F75DEB1">
      <w:pPr>
        <w:pStyle w:val="2"/>
        <w:overflowPunct w:val="0"/>
        <w:adjustRightInd w:val="0"/>
        <w:snapToGrid w:val="0"/>
        <w:spacing w:before="0" w:after="0" w:line="579" w:lineRule="exact"/>
        <w:rPr>
          <w:rFonts w:ascii="黑体" w:hAnsi="黑体" w:eastAsia="黑体" w:cs="黑体"/>
          <w:b w:val="0"/>
          <w:bCs w:val="0"/>
          <w:sz w:val="32"/>
          <w:szCs w:val="32"/>
        </w:rPr>
      </w:pPr>
      <w:bookmarkStart w:id="302" w:name="_Toc13701"/>
      <w:bookmarkStart w:id="303" w:name="_Toc27075"/>
      <w:bookmarkStart w:id="304" w:name="_Toc695"/>
      <w:bookmarkStart w:id="305" w:name="_Toc91709843"/>
      <w:bookmarkStart w:id="306" w:name="_Toc22957"/>
      <w:r>
        <w:rPr>
          <w:rFonts w:hint="eastAsia" w:ascii="黑体" w:hAnsi="黑体" w:eastAsia="黑体" w:cs="黑体"/>
          <w:b w:val="0"/>
          <w:bCs w:val="0"/>
          <w:sz w:val="32"/>
          <w:szCs w:val="32"/>
        </w:rPr>
        <w:t>设备维护管理</w:t>
      </w:r>
      <w:bookmarkEnd w:id="302"/>
      <w:bookmarkEnd w:id="303"/>
      <w:bookmarkEnd w:id="304"/>
      <w:bookmarkEnd w:id="305"/>
      <w:bookmarkEnd w:id="306"/>
    </w:p>
    <w:p w14:paraId="38A2805C">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维护管理功能应满足以下要求：</w:t>
      </w:r>
    </w:p>
    <w:p w14:paraId="3F53969F">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以远程、本地（串口或USB口）等方式对车载终端设备进行维护、管理、设置/查询参数和固件升级；</w:t>
      </w:r>
    </w:p>
    <w:p w14:paraId="6474A8F0">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控制终端复位及恢复出厂设置；</w:t>
      </w:r>
    </w:p>
    <w:p w14:paraId="03623589">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应具备升级保护功能，在升级文件包数据传输异常时应支持断点续传功能，并在执行升级时车辆电源等不稳定的情况下，车载终端设备应该自行防护，可自行修复至前一版本。</w:t>
      </w:r>
    </w:p>
    <w:p w14:paraId="75B4DE74">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宜尽量集成通讯天线等内置在主机内部，方便安装和后续维护。</w:t>
      </w:r>
    </w:p>
    <w:p w14:paraId="13B53BF0">
      <w:pPr>
        <w:pStyle w:val="2"/>
        <w:overflowPunct w:val="0"/>
        <w:adjustRightInd w:val="0"/>
        <w:snapToGrid w:val="0"/>
        <w:spacing w:before="0" w:after="0" w:line="579" w:lineRule="exact"/>
        <w:rPr>
          <w:rFonts w:ascii="黑体" w:hAnsi="黑体" w:eastAsia="黑体" w:cs="黑体"/>
          <w:b w:val="0"/>
          <w:bCs w:val="0"/>
          <w:sz w:val="32"/>
          <w:szCs w:val="32"/>
        </w:rPr>
      </w:pPr>
      <w:bookmarkStart w:id="307" w:name="_Toc6299"/>
      <w:bookmarkStart w:id="308" w:name="_Toc20476"/>
      <w:bookmarkStart w:id="309" w:name="_Toc28604"/>
      <w:bookmarkStart w:id="310" w:name="_Toc28391"/>
      <w:bookmarkStart w:id="311" w:name="_Toc91709844"/>
      <w:r>
        <w:rPr>
          <w:rFonts w:hint="eastAsia" w:ascii="黑体" w:hAnsi="黑体" w:eastAsia="黑体" w:cs="黑体"/>
          <w:b w:val="0"/>
          <w:bCs w:val="0"/>
          <w:sz w:val="32"/>
          <w:szCs w:val="32"/>
        </w:rPr>
        <w:t>多中心上报</w:t>
      </w:r>
      <w:bookmarkEnd w:id="307"/>
      <w:bookmarkEnd w:id="308"/>
      <w:bookmarkEnd w:id="309"/>
      <w:bookmarkEnd w:id="310"/>
      <w:bookmarkEnd w:id="311"/>
    </w:p>
    <w:p w14:paraId="16FAE216">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应支持同时连接两个以上中心的功能，将数据上报到两个中心，并接收中心下发的指令进行处理。</w:t>
      </w:r>
    </w:p>
    <w:bookmarkEnd w:id="291"/>
    <w:p w14:paraId="7D469973">
      <w:pPr>
        <w:pStyle w:val="2"/>
        <w:overflowPunct w:val="0"/>
        <w:adjustRightInd w:val="0"/>
        <w:snapToGrid w:val="0"/>
        <w:spacing w:before="0" w:after="0" w:line="579" w:lineRule="exact"/>
        <w:rPr>
          <w:rFonts w:ascii="黑体" w:hAnsi="黑体" w:eastAsia="黑体" w:cs="黑体"/>
          <w:b w:val="0"/>
          <w:bCs w:val="0"/>
          <w:sz w:val="32"/>
          <w:szCs w:val="32"/>
        </w:rPr>
      </w:pPr>
      <w:bookmarkStart w:id="312" w:name="_Toc32191"/>
      <w:bookmarkStart w:id="313" w:name="_Toc3858"/>
      <w:bookmarkStart w:id="314" w:name="_Toc763"/>
      <w:bookmarkStart w:id="315" w:name="_Toc91709845"/>
      <w:bookmarkStart w:id="316" w:name="_Toc20138"/>
      <w:r>
        <w:rPr>
          <w:rFonts w:hint="eastAsia" w:ascii="黑体" w:hAnsi="黑体" w:eastAsia="黑体" w:cs="黑体"/>
          <w:b w:val="0"/>
          <w:bCs w:val="0"/>
          <w:sz w:val="32"/>
          <w:szCs w:val="32"/>
        </w:rPr>
        <w:t>电源管理</w:t>
      </w:r>
      <w:bookmarkEnd w:id="312"/>
      <w:bookmarkEnd w:id="313"/>
      <w:bookmarkEnd w:id="314"/>
      <w:bookmarkEnd w:id="315"/>
      <w:bookmarkEnd w:id="316"/>
    </w:p>
    <w:p w14:paraId="4B853526">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a) 基础要求应满足以下内容：</w:t>
      </w:r>
    </w:p>
    <w:p w14:paraId="4FDE7522">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车载终端设备的主电源应为车辆电源，车载终端设备断电后应自动进入保护状态。</w:t>
      </w:r>
    </w:p>
    <w:p w14:paraId="01797D39">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在低电压下，低于其值应自动关闭主电源，以保证车辆正常取电。</w:t>
      </w:r>
    </w:p>
    <w:p w14:paraId="7AEF46E5">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b)分级电源管理功能应满足以下内容：</w:t>
      </w:r>
    </w:p>
    <w:p w14:paraId="2BBE4222">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应支持不同工作模式下的分级电源管理功能，支持ACC检测，当车辆熄火时，应向平台上传熄火信息并自动进入休眠状态。休眠功能应满足以下要求：</w:t>
      </w:r>
    </w:p>
    <w:p w14:paraId="1E138AEA">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关闭除无线通讯模块、卫星定位模块之外其它不必要设备，卫星定位模块在需要上传时自动唤醒；</w:t>
      </w:r>
    </w:p>
    <w:p w14:paraId="0D67473D">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应根据平台远程设置或者按照初始化时设置的参数自动降低数据上传频率；</w:t>
      </w:r>
    </w:p>
    <w:p w14:paraId="3EA7BD61">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休眠期间平均功耗应不大于4W；</w:t>
      </w:r>
    </w:p>
    <w:p w14:paraId="707E985B">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车载终端设备在休眠时，如果中心需要查看车内情况，应主动唤醒设备，进入常规工作模式，录像等功能要能正常使用，唤醒时间应该可配置，时间到后自动再次进入休眠模式。</w:t>
      </w:r>
    </w:p>
    <w:p w14:paraId="403763EF">
      <w:pPr>
        <w:pStyle w:val="2"/>
        <w:overflowPunct w:val="0"/>
        <w:adjustRightInd w:val="0"/>
        <w:snapToGrid w:val="0"/>
        <w:spacing w:before="0" w:after="0" w:line="579" w:lineRule="exact"/>
        <w:rPr>
          <w:rFonts w:ascii="黑体" w:hAnsi="黑体" w:eastAsia="黑体" w:cs="黑体"/>
          <w:b w:val="0"/>
          <w:bCs w:val="0"/>
          <w:sz w:val="32"/>
          <w:szCs w:val="32"/>
        </w:rPr>
      </w:pPr>
      <w:bookmarkStart w:id="317" w:name="_Toc91709846"/>
      <w:r>
        <w:rPr>
          <w:rFonts w:hint="eastAsia" w:ascii="黑体" w:hAnsi="黑体" w:eastAsia="黑体" w:cs="黑体"/>
          <w:b w:val="0"/>
          <w:bCs w:val="0"/>
          <w:sz w:val="32"/>
          <w:szCs w:val="32"/>
        </w:rPr>
        <w:t>驾驶员身份认证</w:t>
      </w:r>
      <w:bookmarkEnd w:id="317"/>
    </w:p>
    <w:p w14:paraId="5B0F4099">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驾驶员身份认证应具备如下功能：</w:t>
      </w:r>
    </w:p>
    <w:p w14:paraId="578BF87C">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终端在驾驶员上班时对驾驶员进行人脸抓拍并进行驾驶员身份认证，并对合规驾驶员身份进行语音播报；应支持终端在离线时，对驾驶员进行人脸识别，识别结果可以本地播报（或通过其他方式实现设备离线时的人脸识别功能）；准确率应不低于90%，人脸识别平均响应时间应小于2秒；</w:t>
      </w:r>
    </w:p>
    <w:p w14:paraId="16B8D1ED">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支持终端在乘客上车时或定时对驾驶员进行人脸抓拍并进做出驾驶员身份认证，准确率应不低于80%；</w:t>
      </w:r>
    </w:p>
    <w:p w14:paraId="5E37500B">
      <w:pPr>
        <w:pStyle w:val="2"/>
        <w:overflowPunct w:val="0"/>
        <w:adjustRightInd w:val="0"/>
        <w:snapToGrid w:val="0"/>
        <w:spacing w:before="0" w:after="0" w:line="579" w:lineRule="exact"/>
        <w:rPr>
          <w:rFonts w:ascii="黑体" w:hAnsi="黑体" w:eastAsia="黑体" w:cs="黑体"/>
          <w:b w:val="0"/>
          <w:bCs w:val="0"/>
          <w:sz w:val="32"/>
          <w:szCs w:val="32"/>
        </w:rPr>
      </w:pPr>
      <w:bookmarkStart w:id="318" w:name="_Toc91709847"/>
      <w:r>
        <w:rPr>
          <w:rFonts w:hint="eastAsia" w:ascii="黑体" w:hAnsi="黑体" w:eastAsia="黑体" w:cs="黑体"/>
          <w:b w:val="0"/>
          <w:bCs w:val="0"/>
          <w:sz w:val="32"/>
          <w:szCs w:val="32"/>
        </w:rPr>
        <w:t>乘客人脸识别</w:t>
      </w:r>
      <w:bookmarkEnd w:id="318"/>
    </w:p>
    <w:p w14:paraId="15B08BCA">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乘客人脸识别应具备如下功能：</w:t>
      </w:r>
    </w:p>
    <w:p w14:paraId="57326E8C">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支持乘客人脸识别并对乘客人脸进行抠图上报；</w:t>
      </w:r>
    </w:p>
    <w:p w14:paraId="5B62B13F">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支持对乘客脸部光线、角度等因素进行智能分析，识别高质量的乘客人脸图片；</w:t>
      </w:r>
    </w:p>
    <w:p w14:paraId="4DBE0F09">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支持乘客人脸图片上报功能，上报的图片应附加相关标识信息。</w:t>
      </w:r>
    </w:p>
    <w:p w14:paraId="00319E71">
      <w:pPr>
        <w:pStyle w:val="2"/>
        <w:overflowPunct w:val="0"/>
        <w:adjustRightInd w:val="0"/>
        <w:snapToGrid w:val="0"/>
        <w:spacing w:before="0" w:after="0" w:line="579" w:lineRule="exact"/>
        <w:rPr>
          <w:rFonts w:ascii="黑体" w:hAnsi="黑体" w:eastAsia="黑体" w:cs="黑体"/>
          <w:b w:val="0"/>
          <w:bCs w:val="0"/>
          <w:sz w:val="32"/>
          <w:szCs w:val="32"/>
        </w:rPr>
      </w:pPr>
      <w:bookmarkStart w:id="319" w:name="OLE_LINK54"/>
      <w:bookmarkStart w:id="320" w:name="_Toc91709848"/>
      <w:r>
        <w:rPr>
          <w:rFonts w:hint="eastAsia" w:ascii="黑体" w:hAnsi="黑体" w:eastAsia="黑体" w:cs="黑体"/>
          <w:b w:val="0"/>
          <w:bCs w:val="0"/>
          <w:sz w:val="32"/>
          <w:szCs w:val="32"/>
        </w:rPr>
        <w:t>运营安全监测</w:t>
      </w:r>
      <w:bookmarkEnd w:id="319"/>
      <w:bookmarkEnd w:id="320"/>
    </w:p>
    <w:p w14:paraId="7058487C">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运营安全监测功能主要包括：</w:t>
      </w:r>
    </w:p>
    <w:p w14:paraId="04EBC97D">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1.应支持驾驶员、乘客安全紧急报警功能；</w:t>
      </w:r>
    </w:p>
    <w:p w14:paraId="2AA15949">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2.应支持超速驾驶等监测并上报安全预警信息；</w:t>
      </w:r>
    </w:p>
    <w:p w14:paraId="5BB4648C">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3.终端应具备对外ADAS功能，能够对前车碰撞、行人碰撞等情况进行提前预警；</w:t>
      </w:r>
    </w:p>
    <w:p w14:paraId="7944E4B8">
      <w:pPr>
        <w:pStyle w:val="2"/>
        <w:overflowPunct w:val="0"/>
        <w:adjustRightInd w:val="0"/>
        <w:snapToGrid w:val="0"/>
        <w:spacing w:before="0" w:after="0" w:line="579" w:lineRule="exact"/>
        <w:ind w:firstLine="640" w:firstLineChars="200"/>
        <w:rPr>
          <w:rFonts w:ascii="仿宋" w:hAnsi="仿宋" w:eastAsia="仿宋" w:cs="仿宋"/>
          <w:b w:val="0"/>
          <w:bCs w:val="0"/>
          <w:sz w:val="32"/>
          <w:szCs w:val="32"/>
        </w:rPr>
      </w:pPr>
      <w:r>
        <w:rPr>
          <w:rFonts w:hint="eastAsia" w:ascii="仿宋_GB2312" w:hAnsi="仿宋" w:eastAsia="仿宋_GB2312" w:cs="仿宋"/>
          <w:b w:val="0"/>
          <w:bCs w:val="0"/>
          <w:sz w:val="32"/>
          <w:szCs w:val="32"/>
        </w:rPr>
        <w:t>4.能够通过增加驾驶行为分析仪等设备，实现驾驶员营运过程中抽烟、打电话等行为检测。</w:t>
      </w:r>
    </w:p>
    <w:p w14:paraId="52A80FAD">
      <w:pPr>
        <w:pStyle w:val="3"/>
        <w:overflowPunct w:val="0"/>
        <w:adjustRightInd w:val="0"/>
        <w:snapToGrid w:val="0"/>
        <w:spacing w:before="0" w:after="0" w:line="579" w:lineRule="exact"/>
        <w:ind w:left="67" w:firstLine="0"/>
        <w:rPr>
          <w:rFonts w:ascii="黑体" w:hAnsi="黑体" w:cs="黑体"/>
          <w:b w:val="0"/>
          <w:bCs w:val="0"/>
          <w:sz w:val="32"/>
          <w:szCs w:val="32"/>
        </w:rPr>
      </w:pPr>
      <w:bookmarkStart w:id="321" w:name="_Toc9897"/>
      <w:bookmarkStart w:id="322" w:name="_Toc5490"/>
      <w:bookmarkStart w:id="323" w:name="_Toc404583676"/>
      <w:bookmarkStart w:id="324" w:name="_Toc436227129"/>
      <w:bookmarkStart w:id="325" w:name="_Toc8345"/>
      <w:bookmarkStart w:id="326" w:name="_Toc9461"/>
      <w:bookmarkStart w:id="327" w:name="_Toc404583563"/>
      <w:bookmarkStart w:id="328" w:name="_Toc420932027"/>
      <w:bookmarkStart w:id="329" w:name="_Toc403462061"/>
      <w:bookmarkStart w:id="330" w:name="_Toc91709850"/>
      <w:bookmarkStart w:id="331" w:name="_Toc420932317"/>
      <w:r>
        <w:rPr>
          <w:rFonts w:hint="eastAsia" w:ascii="黑体" w:hAnsi="黑体" w:cs="黑体"/>
          <w:b w:val="0"/>
          <w:bCs w:val="0"/>
          <w:sz w:val="32"/>
          <w:szCs w:val="32"/>
        </w:rPr>
        <w:t>性能</w:t>
      </w:r>
      <w:bookmarkEnd w:id="321"/>
      <w:bookmarkEnd w:id="322"/>
      <w:bookmarkEnd w:id="323"/>
      <w:bookmarkEnd w:id="324"/>
      <w:bookmarkEnd w:id="325"/>
      <w:bookmarkEnd w:id="326"/>
      <w:bookmarkEnd w:id="327"/>
      <w:bookmarkEnd w:id="328"/>
      <w:bookmarkEnd w:id="329"/>
      <w:bookmarkEnd w:id="330"/>
      <w:bookmarkEnd w:id="331"/>
    </w:p>
    <w:bookmarkEnd w:id="192"/>
    <w:bookmarkEnd w:id="193"/>
    <w:bookmarkEnd w:id="194"/>
    <w:bookmarkEnd w:id="200"/>
    <w:bookmarkEnd w:id="201"/>
    <w:bookmarkEnd w:id="202"/>
    <w:bookmarkEnd w:id="203"/>
    <w:bookmarkEnd w:id="204"/>
    <w:bookmarkEnd w:id="205"/>
    <w:p w14:paraId="0B637BC7">
      <w:pPr>
        <w:pStyle w:val="2"/>
        <w:overflowPunct w:val="0"/>
        <w:adjustRightInd w:val="0"/>
        <w:snapToGrid w:val="0"/>
        <w:spacing w:before="0" w:after="0" w:line="579" w:lineRule="exact"/>
        <w:ind w:firstLine="640" w:firstLineChars="200"/>
        <w:rPr>
          <w:rFonts w:ascii="仿宋_GB2312" w:hAnsi="仿宋" w:eastAsia="仿宋_GB2312" w:cs="仿宋"/>
          <w:b w:val="0"/>
          <w:bCs w:val="0"/>
          <w:sz w:val="32"/>
          <w:szCs w:val="32"/>
        </w:rPr>
      </w:pPr>
      <w:r>
        <w:rPr>
          <w:rFonts w:hint="eastAsia" w:ascii="仿宋_GB2312" w:hAnsi="仿宋" w:eastAsia="仿宋_GB2312" w:cs="仿宋"/>
          <w:b w:val="0"/>
          <w:bCs w:val="0"/>
          <w:sz w:val="32"/>
          <w:szCs w:val="32"/>
        </w:rPr>
        <w:t>本标准包含的性能、指标、适应性应能满足引用文件中的相关要求。</w:t>
      </w:r>
    </w:p>
    <w:p w14:paraId="4B1D8D49">
      <w:pPr>
        <w:pStyle w:val="2"/>
        <w:overflowPunct w:val="0"/>
        <w:adjustRightInd w:val="0"/>
        <w:snapToGrid w:val="0"/>
        <w:spacing w:before="0" w:after="0" w:line="579" w:lineRule="exact"/>
        <w:rPr>
          <w:rFonts w:ascii="黑体" w:hAnsi="黑体" w:eastAsia="黑体" w:cs="黑体"/>
          <w:b w:val="0"/>
          <w:bCs w:val="0"/>
          <w:sz w:val="32"/>
          <w:szCs w:val="32"/>
        </w:rPr>
      </w:pPr>
      <w:bookmarkStart w:id="332" w:name="_Toc91709851"/>
      <w:r>
        <w:rPr>
          <w:rFonts w:hint="eastAsia" w:ascii="黑体" w:hAnsi="黑体" w:eastAsia="黑体" w:cs="黑体"/>
          <w:b w:val="0"/>
          <w:bCs w:val="0"/>
          <w:sz w:val="32"/>
          <w:szCs w:val="32"/>
        </w:rPr>
        <w:t>摄像装置</w:t>
      </w:r>
      <w:bookmarkEnd w:id="332"/>
    </w:p>
    <w:p w14:paraId="26EE2BBC">
      <w:pPr>
        <w:ind w:firstLine="627" w:firstLineChars="196"/>
        <w:rPr>
          <w:rFonts w:ascii="仿宋_GB2312" w:hAnsi="仿宋" w:eastAsia="仿宋_GB2312" w:cs="仿宋"/>
          <w:kern w:val="44"/>
          <w:sz w:val="32"/>
          <w:szCs w:val="32"/>
        </w:rPr>
      </w:pPr>
      <w:r>
        <w:rPr>
          <w:rFonts w:hint="eastAsia" w:ascii="仿宋_GB2312" w:hAnsi="仿宋" w:eastAsia="仿宋_GB2312" w:cs="仿宋"/>
          <w:kern w:val="44"/>
          <w:sz w:val="32"/>
          <w:szCs w:val="32"/>
        </w:rPr>
        <w:t>两路视频装置应满足对内摄像头拍摄水平视角不低于100度；对外摄像头拍摄水平视角不低于90度。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D4E"/>
    <w:rsid w:val="00113554"/>
    <w:rsid w:val="001238ED"/>
    <w:rsid w:val="001D68C5"/>
    <w:rsid w:val="002B2A59"/>
    <w:rsid w:val="00393248"/>
    <w:rsid w:val="003976B1"/>
    <w:rsid w:val="003D02E9"/>
    <w:rsid w:val="00471163"/>
    <w:rsid w:val="00474E26"/>
    <w:rsid w:val="00495D97"/>
    <w:rsid w:val="004A47D9"/>
    <w:rsid w:val="004F7B0C"/>
    <w:rsid w:val="00543E67"/>
    <w:rsid w:val="0060323A"/>
    <w:rsid w:val="006240A4"/>
    <w:rsid w:val="0067263C"/>
    <w:rsid w:val="00786CD0"/>
    <w:rsid w:val="007D2E40"/>
    <w:rsid w:val="007D4E53"/>
    <w:rsid w:val="0081232A"/>
    <w:rsid w:val="008223AE"/>
    <w:rsid w:val="00832D4E"/>
    <w:rsid w:val="0084426D"/>
    <w:rsid w:val="008819A4"/>
    <w:rsid w:val="008A2888"/>
    <w:rsid w:val="009804EE"/>
    <w:rsid w:val="00A22B70"/>
    <w:rsid w:val="00A50B1D"/>
    <w:rsid w:val="00A96F3D"/>
    <w:rsid w:val="00AB100A"/>
    <w:rsid w:val="00B20611"/>
    <w:rsid w:val="00C040E2"/>
    <w:rsid w:val="00C93705"/>
    <w:rsid w:val="00CB598E"/>
    <w:rsid w:val="00CC0A3C"/>
    <w:rsid w:val="00D72A99"/>
    <w:rsid w:val="00D84F8A"/>
    <w:rsid w:val="00E53B86"/>
    <w:rsid w:val="00F1452F"/>
    <w:rsid w:val="00F5240E"/>
    <w:rsid w:val="00F641B2"/>
    <w:rsid w:val="00F84A30"/>
    <w:rsid w:val="00FA72B4"/>
    <w:rsid w:val="00FD57BA"/>
    <w:rsid w:val="38D93204"/>
    <w:rsid w:val="4CDD48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0"/>
    <w:pPr>
      <w:keepNext/>
      <w:keepLines/>
      <w:spacing w:before="340" w:after="330" w:line="576" w:lineRule="auto"/>
      <w:outlineLvl w:val="0"/>
    </w:pPr>
    <w:rPr>
      <w:rFonts w:ascii="Times New Roman" w:hAnsi="Times New Roman" w:eastAsia="宋体" w:cs="Times New Roman"/>
      <w:b/>
      <w:bCs/>
      <w:kern w:val="44"/>
      <w:sz w:val="44"/>
      <w:szCs w:val="24"/>
    </w:rPr>
  </w:style>
  <w:style w:type="paragraph" w:styleId="3">
    <w:name w:val="heading 3"/>
    <w:basedOn w:val="1"/>
    <w:next w:val="1"/>
    <w:link w:val="14"/>
    <w:qFormat/>
    <w:uiPriority w:val="0"/>
    <w:pPr>
      <w:keepNext/>
      <w:keepLines/>
      <w:spacing w:before="260" w:after="260" w:line="412" w:lineRule="auto"/>
      <w:ind w:left="720" w:hanging="720"/>
      <w:outlineLvl w:val="2"/>
    </w:pPr>
    <w:rPr>
      <w:rFonts w:ascii="Calibri" w:hAnsi="Calibri" w:eastAsia="黑体" w:cs="Times New Roman"/>
      <w:b/>
      <w:bCs/>
      <w:sz w:val="30"/>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semiHidden/>
    <w:unhideWhenUsed/>
    <w:uiPriority w:val="99"/>
    <w:pPr>
      <w:tabs>
        <w:tab w:val="center" w:pos="4153"/>
        <w:tab w:val="right" w:pos="8306"/>
      </w:tabs>
      <w:snapToGrid w:val="0"/>
      <w:jc w:val="left"/>
    </w:pPr>
    <w:rPr>
      <w:sz w:val="18"/>
      <w:szCs w:val="18"/>
    </w:rPr>
  </w:style>
  <w:style w:type="paragraph" w:styleId="5">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semiHidden/>
    <w:uiPriority w:val="99"/>
    <w:rPr>
      <w:sz w:val="18"/>
      <w:szCs w:val="18"/>
    </w:rPr>
  </w:style>
  <w:style w:type="character" w:customStyle="1" w:styleId="10">
    <w:name w:val="页脚 Char"/>
    <w:basedOn w:val="8"/>
    <w:link w:val="4"/>
    <w:semiHidden/>
    <w:uiPriority w:val="99"/>
    <w:rPr>
      <w:sz w:val="18"/>
      <w:szCs w:val="18"/>
    </w:rPr>
  </w:style>
  <w:style w:type="paragraph" w:customStyle="1" w:styleId="11">
    <w:name w:val="p_a"/>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
    <w:name w:val="p_b"/>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标题 1 Char"/>
    <w:basedOn w:val="8"/>
    <w:link w:val="2"/>
    <w:uiPriority w:val="0"/>
    <w:rPr>
      <w:rFonts w:ascii="Times New Roman" w:hAnsi="Times New Roman" w:eastAsia="宋体" w:cs="Times New Roman"/>
      <w:b/>
      <w:bCs/>
      <w:kern w:val="44"/>
      <w:sz w:val="44"/>
      <w:szCs w:val="24"/>
    </w:rPr>
  </w:style>
  <w:style w:type="character" w:customStyle="1" w:styleId="14">
    <w:name w:val="标题 3 Char"/>
    <w:basedOn w:val="8"/>
    <w:link w:val="3"/>
    <w:uiPriority w:val="0"/>
    <w:rPr>
      <w:rFonts w:ascii="Calibri" w:hAnsi="Calibri" w:eastAsia="黑体" w:cs="Times New Roman"/>
      <w:b/>
      <w:bCs/>
      <w:sz w:val="30"/>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E39DD-4616-46BC-B35D-A9AB9E9272A1}">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12</Pages>
  <Words>867</Words>
  <Characters>4943</Characters>
  <Lines>41</Lines>
  <Paragraphs>11</Paragraphs>
  <TotalTime>85</TotalTime>
  <ScaleCrop>false</ScaleCrop>
  <LinksUpToDate>false</LinksUpToDate>
  <CharactersWithSpaces>5799</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2026-07-17T07:08:00Z</dcterms:created>
  <dc:creator>微软用户</dc:creator>
  <cp:lastModifiedBy> </cp:lastModifiedBy>
  <cp:lastPrinted>2026-07-27T00:14:00Z</cp:lastPrinted>
  <dcterms:modified xsi:type="dcterms:W3CDTF">2026-07-28T07:35:34Z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eyJoZGlkIjoiZDViNTg2YjgwMmE1NzA0MTRhMzFiZjI1Y2FmYWUyZjYiLCJ1c2VySWQiOiI2MTY3NTI0NTYifQ==</vt:lpwstr>
  </property>
  <property fmtid="{D5CDD505-2E9C-101B-9397-08002B2CF9AE}" pid="3" name="KSOProductBuildVer">
    <vt:lpwstr>2052-12.8.2.21555</vt:lpwstr>
  </property>
  <property fmtid="{D5CDD505-2E9C-101B-9397-08002B2CF9AE}" pid="4" name="ICV">
    <vt:lpwstr>C32F1C57F47349088361E6D1D809C7C9_13</vt:lpwstr>
  </property>
</Properties>
</file>