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61312"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2336;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邯郸市交通运输局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二〇二〇年十一月</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3600;mso-width-relative:page;mso-height-relative:page;" coordorigin="45,526" coordsize="85,13982"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top:526;height:11;width:85;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top:528;height:12;width:8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pPr>
        <w:widowControl/>
        <w:spacing w:line="580" w:lineRule="exact"/>
        <w:ind w:firstLine="1433" w:firstLineChars="44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433" w:firstLineChars="44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黑体"/>
          <w:sz w:val="32"/>
          <w:szCs w:val="32"/>
        </w:rPr>
      </w:pPr>
      <w:r>
        <w:rPr>
          <w:rFonts w:eastAsia="黑体"/>
          <w:sz w:val="32"/>
          <w:szCs w:val="32"/>
        </w:rPr>
        <w:t>第二部分</w:t>
      </w:r>
      <w:r>
        <w:rPr>
          <w:rFonts w:hint="eastAsia" w:eastAsia="黑体"/>
          <w:sz w:val="32"/>
          <w:szCs w:val="32"/>
        </w:rPr>
        <w:t xml:space="preserve">   </w:t>
      </w:r>
      <w:r>
        <w:rPr>
          <w:rFonts w:eastAsia="黑体"/>
          <w:sz w:val="32"/>
          <w:szCs w:val="32"/>
        </w:rPr>
        <w:t>201</w:t>
      </w:r>
      <w:r>
        <w:rPr>
          <w:rFonts w:hint="eastAsia" w:eastAsia="黑体"/>
          <w:sz w:val="32"/>
          <w:szCs w:val="32"/>
        </w:rPr>
        <w:t>9</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2576;mso-width-relative:page;mso-height-relative:page;" coordorigin="45,526" coordsize="85,13982"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top:526;height:11;width:85;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top:528;height:12;width:8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w:t>
      </w:r>
      <w:r>
        <w:rPr>
          <w:rFonts w:eastAsia="黑体"/>
          <w:sz w:val="32"/>
          <w:szCs w:val="32"/>
        </w:rPr>
        <w:t>名词解释</w:t>
      </w:r>
    </w:p>
    <w:p>
      <w:pPr>
        <w:widowControl/>
        <w:spacing w:line="580" w:lineRule="exact"/>
        <w:ind w:firstLine="640" w:firstLineChars="200"/>
        <w:rPr>
          <w:rFonts w:eastAsia="仿宋_GB2312"/>
          <w:sz w:val="20"/>
          <w:szCs w:val="32"/>
        </w:rPr>
      </w:pPr>
      <w:r>
        <w:rPr>
          <w:rFonts w:eastAsia="黑体"/>
          <w:sz w:val="32"/>
          <w:szCs w:val="32"/>
        </w:rPr>
        <w:t>第四部分   201</w:t>
      </w:r>
      <w:r>
        <w:rPr>
          <w:rFonts w:hint="eastAsia" w:eastAsia="黑体"/>
          <w:sz w:val="32"/>
          <w:szCs w:val="32"/>
        </w:rPr>
        <w:t>9</w:t>
      </w:r>
      <w:r>
        <w:rPr>
          <w:rFonts w:eastAsia="黑体"/>
          <w:sz w:val="32"/>
          <w:szCs w:val="32"/>
        </w:rPr>
        <w:t>年度部门决算报表</w:t>
      </w:r>
    </w:p>
    <w:p>
      <w:pPr>
        <w:widowControl/>
        <w:spacing w:line="580" w:lineRule="exact"/>
        <w:ind w:firstLine="640" w:firstLineChars="200"/>
        <w:rPr>
          <w:rFonts w:eastAsia="黑体"/>
          <w:sz w:val="32"/>
          <w:szCs w:val="32"/>
        </w:rPr>
      </w:pPr>
    </w:p>
    <w:p>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numPr>
          <w:ilvl w:val="0"/>
          <w:numId w:val="1"/>
        </w:numPr>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4384;mso-width-relative:page;mso-height-relative:page;" coordorigin="45,526" coordsize="85,13982"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top:526;height:11;width:85;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top:528;height:12;width:8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部门职责</w:t>
      </w:r>
    </w:p>
    <w:p>
      <w:pPr>
        <w:spacing w:line="480" w:lineRule="atLeast"/>
        <w:rPr>
          <w:rFonts w:eastAsia="仿宋_GB2312"/>
          <w:sz w:val="32"/>
          <w:szCs w:val="32"/>
        </w:rPr>
      </w:pPr>
      <w:r>
        <w:rPr>
          <w:rFonts w:eastAsia="仿宋_GB2312"/>
          <w:sz w:val="32"/>
          <w:szCs w:val="32"/>
        </w:rPr>
        <w:t>（一）会同有关部门推进全市综合交通运输体系建设，统筹规划公路、水路、</w:t>
      </w:r>
      <w:r>
        <w:rPr>
          <w:rFonts w:hint="eastAsia" w:eastAsia="仿宋_GB2312"/>
          <w:sz w:val="32"/>
          <w:szCs w:val="32"/>
        </w:rPr>
        <w:t>地方铁路、</w:t>
      </w:r>
      <w:r>
        <w:rPr>
          <w:rFonts w:eastAsia="仿宋_GB2312"/>
          <w:sz w:val="32"/>
          <w:szCs w:val="32"/>
        </w:rPr>
        <w:t>民航行业发展，建立健全与全市综合交通运输体系相适应的制度体制机制，优化全市交通运输主要通道和重要枢纽节点布局，促进各种交通运输方式融合。</w:t>
      </w:r>
    </w:p>
    <w:p>
      <w:pPr>
        <w:spacing w:line="480" w:lineRule="atLeast"/>
        <w:rPr>
          <w:rFonts w:eastAsia="仿宋_GB2312"/>
          <w:sz w:val="32"/>
          <w:szCs w:val="32"/>
        </w:rPr>
      </w:pPr>
      <w:r>
        <w:rPr>
          <w:rFonts w:eastAsia="仿宋_GB2312"/>
          <w:sz w:val="32"/>
          <w:szCs w:val="32"/>
        </w:rPr>
        <w:t>（二）会同有关部门组织拟订全市综合交通运输发展战略和政策，组织编制全市综合交通运输体系规划，拟订公路、水路、</w:t>
      </w:r>
      <w:r>
        <w:rPr>
          <w:rFonts w:hint="eastAsia" w:eastAsia="仿宋_GB2312"/>
          <w:sz w:val="32"/>
          <w:szCs w:val="32"/>
        </w:rPr>
        <w:t>地方跌路、</w:t>
      </w:r>
      <w:r>
        <w:rPr>
          <w:rFonts w:eastAsia="仿宋_GB2312"/>
          <w:sz w:val="32"/>
          <w:szCs w:val="32"/>
        </w:rPr>
        <w:t>民航发展战略、政策和规划并监督实施，指导综合交通运输枢纽规划和管理。参与拟订物流业发展战略和规划，拟订有关政策和标准并监督实施。统筹协调邮政规划与交通运输规划的衔接。</w:t>
      </w:r>
    </w:p>
    <w:p>
      <w:pPr>
        <w:spacing w:line="480" w:lineRule="atLeast"/>
        <w:rPr>
          <w:rFonts w:eastAsia="仿宋_GB2312"/>
          <w:sz w:val="32"/>
          <w:szCs w:val="32"/>
        </w:rPr>
      </w:pPr>
      <w:r>
        <w:rPr>
          <w:rFonts w:eastAsia="仿宋_GB2312"/>
          <w:sz w:val="32"/>
          <w:szCs w:val="32"/>
        </w:rPr>
        <w:t>（三）</w:t>
      </w:r>
      <w:r>
        <w:rPr>
          <w:rFonts w:hint="eastAsia" w:eastAsia="仿宋_GB2312"/>
          <w:sz w:val="32"/>
          <w:szCs w:val="32"/>
        </w:rPr>
        <w:t>承担市属高速公路规划的管理责任。负责贯彻落实国家和省高速公路建设、管理的方针、政策和标准，拟定市属高速公路有关政策、制度并监督实施。</w:t>
      </w:r>
    </w:p>
    <w:p>
      <w:pPr>
        <w:spacing w:line="480" w:lineRule="atLeast"/>
        <w:rPr>
          <w:rFonts w:eastAsia="仿宋_GB2312"/>
          <w:sz w:val="32"/>
          <w:szCs w:val="32"/>
        </w:rPr>
      </w:pPr>
      <w:r>
        <w:rPr>
          <w:rFonts w:eastAsia="仿宋_GB2312"/>
          <w:sz w:val="32"/>
          <w:szCs w:val="32"/>
        </w:rPr>
        <w:t>（四）负责组织起草地方性综合交通运输法规和规章草案，统筹全市公路、水路、民航相关法规和规章草案的起草工作。负责交通运输综合行政执法政策标准制定、监督指导、重大案件查处和跨区域执法的组织协调工作。指导全市交通运输综合行政执法和队伍建设有关工作。指导全市交通运输行业体制改革工作。</w:t>
      </w:r>
    </w:p>
    <w:p>
      <w:pPr>
        <w:spacing w:line="480" w:lineRule="atLeast"/>
        <w:rPr>
          <w:rFonts w:eastAsia="仿宋_GB2312"/>
          <w:sz w:val="32"/>
          <w:szCs w:val="32"/>
        </w:rPr>
      </w:pPr>
      <w:r>
        <w:rPr>
          <w:rFonts w:eastAsia="仿宋_GB2312"/>
          <w:sz w:val="32"/>
          <w:szCs w:val="32"/>
        </w:rPr>
        <w:t>（五）负责贯彻综合交通运输标准，组织落实并监督实施全市公路、水路等行业标准，协调衔接各种交通运输方式标准。</w:t>
      </w:r>
    </w:p>
    <w:p>
      <w:pPr>
        <w:spacing w:line="480" w:lineRule="atLeast"/>
        <w:rPr>
          <w:rFonts w:eastAsia="仿宋_GB2312"/>
          <w:sz w:val="32"/>
          <w:szCs w:val="32"/>
        </w:rPr>
      </w:pPr>
      <w:r>
        <w:rPr>
          <w:rFonts w:eastAsia="仿宋_GB2312"/>
          <w:sz w:val="32"/>
          <w:szCs w:val="32"/>
        </w:rPr>
        <w:t>（六）承担全市道路、水路运输市场监管责任。组织拟订道路、水路运输有关政策、准入退出制度、技术标准和运营规范并监督实施。负责指导城乡客运及有关设施规划和管理，指导城市客运的管理工作。</w:t>
      </w:r>
      <w:r>
        <w:rPr>
          <w:rFonts w:hint="eastAsia" w:eastAsia="仿宋_GB2312"/>
          <w:sz w:val="32"/>
          <w:szCs w:val="32"/>
        </w:rPr>
        <w:t>牵头负责铁路沿线环境安全监管职责。</w:t>
      </w:r>
    </w:p>
    <w:p>
      <w:pPr>
        <w:spacing w:line="480" w:lineRule="atLeast"/>
        <w:rPr>
          <w:rFonts w:eastAsia="仿宋_GB2312"/>
          <w:sz w:val="32"/>
          <w:szCs w:val="32"/>
        </w:rPr>
      </w:pPr>
      <w:r>
        <w:rPr>
          <w:rFonts w:eastAsia="仿宋_GB2312"/>
          <w:sz w:val="32"/>
          <w:szCs w:val="32"/>
        </w:rPr>
        <w:t>（七）承担全市管辖水域水上交通安全监管责任。负责水上交通管制、船舶及相关水上设施检验、登记和防止污染等工作</w:t>
      </w:r>
      <w:r>
        <w:rPr>
          <w:rFonts w:hint="eastAsia" w:eastAsia="仿宋_GB2312"/>
          <w:sz w:val="32"/>
          <w:szCs w:val="32"/>
        </w:rPr>
        <w:t>。</w:t>
      </w:r>
      <w:r>
        <w:rPr>
          <w:rFonts w:eastAsia="仿宋_GB2312"/>
          <w:sz w:val="32"/>
          <w:szCs w:val="32"/>
        </w:rPr>
        <w:t>负责渔船检验和监督管理。</w:t>
      </w:r>
      <w:r>
        <w:rPr>
          <w:rFonts w:hint="eastAsia" w:eastAsia="仿宋_GB2312"/>
          <w:sz w:val="32"/>
          <w:szCs w:val="32"/>
        </w:rPr>
        <w:t>依法组织或参与事故调查处理。</w:t>
      </w:r>
      <w:r>
        <w:rPr>
          <w:rFonts w:eastAsia="仿宋_GB2312"/>
          <w:sz w:val="32"/>
          <w:szCs w:val="32"/>
        </w:rPr>
        <w:t>指导地方海事和船员管理有关事宜。</w:t>
      </w:r>
    </w:p>
    <w:p>
      <w:pPr>
        <w:spacing w:line="480" w:lineRule="atLeast"/>
        <w:rPr>
          <w:rFonts w:eastAsia="仿宋_GB2312"/>
          <w:sz w:val="32"/>
          <w:szCs w:val="32"/>
        </w:rPr>
      </w:pPr>
      <w:r>
        <w:rPr>
          <w:rFonts w:eastAsia="仿宋_GB2312"/>
          <w:sz w:val="32"/>
          <w:szCs w:val="32"/>
        </w:rPr>
        <w:t>（八）负责提出全市交通运输行业固定资产投资规模和方向，按规定权限审批、核准市规划内和年度计划规模内的固定资产投资项目。负责交通国有资产管理和交通专项资金的管理、使用。指导行业内部审计工作。承担交通运输行业财政预算资金的绩效监督和管理工作。代表市政府履行交通运输类企业出资人职责。</w:t>
      </w:r>
    </w:p>
    <w:p>
      <w:pPr>
        <w:spacing w:line="480" w:lineRule="atLeast"/>
        <w:rPr>
          <w:rFonts w:eastAsia="仿宋_GB2312"/>
          <w:sz w:val="32"/>
          <w:szCs w:val="32"/>
        </w:rPr>
      </w:pPr>
      <w:r>
        <w:rPr>
          <w:rFonts w:eastAsia="仿宋_GB2312"/>
          <w:sz w:val="32"/>
          <w:szCs w:val="32"/>
        </w:rPr>
        <w:t>（九）承担全市公路、水路建设市场监管责任。负责贯彻落实公路、水路建设有关政策</w:t>
      </w:r>
      <w:r>
        <w:rPr>
          <w:rFonts w:hint="eastAsia" w:eastAsia="仿宋_GB2312"/>
          <w:sz w:val="32"/>
          <w:szCs w:val="32"/>
        </w:rPr>
        <w:t>、制度</w:t>
      </w:r>
      <w:r>
        <w:rPr>
          <w:rFonts w:eastAsia="仿宋_GB2312"/>
          <w:sz w:val="32"/>
          <w:szCs w:val="32"/>
        </w:rPr>
        <w:t>和技术标准并监督实施。组织协调公路、水路等有关重点工程建设、工程质量和安全生产监督管理工作，指导交通运输基础设施管理和维护。负责全市交通基本建设项目招投标活动的监督管理。负责市属收费公路管理。</w:t>
      </w:r>
    </w:p>
    <w:p>
      <w:pPr>
        <w:spacing w:line="480" w:lineRule="atLeast"/>
        <w:rPr>
          <w:rFonts w:eastAsia="仿宋_GB2312"/>
          <w:sz w:val="32"/>
          <w:szCs w:val="32"/>
        </w:rPr>
      </w:pPr>
      <w:r>
        <w:rPr>
          <w:rFonts w:eastAsia="仿宋_GB2312"/>
          <w:sz w:val="32"/>
          <w:szCs w:val="32"/>
        </w:rPr>
        <w:t>（十）负责全市民航行业发展建设和管理的组织协调。</w:t>
      </w:r>
    </w:p>
    <w:p>
      <w:pPr>
        <w:spacing w:line="480" w:lineRule="atLeast"/>
        <w:rPr>
          <w:rFonts w:eastAsia="仿宋_GB2312"/>
          <w:sz w:val="32"/>
          <w:szCs w:val="32"/>
        </w:rPr>
      </w:pPr>
      <w:r>
        <w:rPr>
          <w:rFonts w:eastAsia="仿宋_GB2312"/>
          <w:sz w:val="32"/>
          <w:szCs w:val="32"/>
        </w:rPr>
        <w:t>（十一）指导全市公路、水路行业安全生产和应急管理。负责重点物资和紧急客货运输工具的组织协调。负责市属高速公路及国、省干线公路网运行监测和应急处置协调工作。承担国防交通有关工作。</w:t>
      </w:r>
    </w:p>
    <w:p>
      <w:pPr>
        <w:spacing w:line="480" w:lineRule="atLeast"/>
        <w:rPr>
          <w:rFonts w:eastAsia="仿宋_GB2312"/>
          <w:sz w:val="32"/>
          <w:szCs w:val="32"/>
        </w:rPr>
      </w:pPr>
      <w:r>
        <w:rPr>
          <w:rFonts w:eastAsia="仿宋_GB2312"/>
          <w:sz w:val="32"/>
          <w:szCs w:val="32"/>
        </w:rPr>
        <w:t>（十二）指导全市交通运输信息化建设。承担综合交通运输统计工作，监测分析交通运输运行情况，发布有关信息。指导</w:t>
      </w:r>
      <w:r>
        <w:rPr>
          <w:rFonts w:hint="eastAsia" w:eastAsia="仿宋_GB2312"/>
          <w:sz w:val="32"/>
          <w:szCs w:val="32"/>
        </w:rPr>
        <w:t>督促交通运输领域大气污染治理</w:t>
      </w:r>
      <w:r>
        <w:rPr>
          <w:rFonts w:eastAsia="仿宋_GB2312"/>
          <w:sz w:val="32"/>
          <w:szCs w:val="32"/>
        </w:rPr>
        <w:t>和节能减排</w:t>
      </w:r>
      <w:r>
        <w:rPr>
          <w:rFonts w:hint="eastAsia" w:eastAsia="仿宋_GB2312"/>
          <w:sz w:val="32"/>
          <w:szCs w:val="32"/>
        </w:rPr>
        <w:t>工作</w:t>
      </w:r>
      <w:r>
        <w:rPr>
          <w:rFonts w:eastAsia="仿宋_GB2312"/>
          <w:sz w:val="32"/>
          <w:szCs w:val="32"/>
        </w:rPr>
        <w:t>。</w:t>
      </w:r>
    </w:p>
    <w:p>
      <w:pPr>
        <w:spacing w:line="480" w:lineRule="atLeast"/>
        <w:rPr>
          <w:rFonts w:eastAsia="仿宋_GB2312"/>
          <w:sz w:val="32"/>
          <w:szCs w:val="32"/>
        </w:rPr>
      </w:pPr>
      <w:r>
        <w:rPr>
          <w:rFonts w:eastAsia="仿宋_GB2312"/>
          <w:sz w:val="32"/>
          <w:szCs w:val="32"/>
        </w:rPr>
        <w:t>（十三）负责拟订全市交通运输行业科技政策、技术标准和规范，组织科技开发，推动行业技术进步。指导行业教育培训工作。指导行业精神文明建设。</w:t>
      </w:r>
    </w:p>
    <w:p>
      <w:pPr>
        <w:spacing w:line="480" w:lineRule="atLeast"/>
        <w:rPr>
          <w:rFonts w:eastAsia="仿宋_GB2312"/>
          <w:sz w:val="32"/>
          <w:szCs w:val="32"/>
        </w:rPr>
      </w:pPr>
      <w:r>
        <w:rPr>
          <w:rFonts w:eastAsia="仿宋_GB2312"/>
          <w:sz w:val="32"/>
          <w:szCs w:val="32"/>
        </w:rPr>
        <w:t>（十四）负责全市交通运输行业涉外事宜，开展与国际和港澳台地区交通运输经济技术合作与交流。</w:t>
      </w:r>
    </w:p>
    <w:p>
      <w:pPr>
        <w:spacing w:line="480" w:lineRule="atLeast"/>
        <w:rPr>
          <w:rFonts w:eastAsia="仿宋_GB2312"/>
          <w:color w:val="FF0000"/>
          <w:sz w:val="32"/>
          <w:szCs w:val="32"/>
        </w:rPr>
      </w:pPr>
      <w:r>
        <w:rPr>
          <w:rFonts w:eastAsia="仿宋_GB2312"/>
          <w:sz w:val="32"/>
          <w:szCs w:val="32"/>
        </w:rPr>
        <w:t>（十五）负责京津冀协同发展交通一体化组织协调工作。</w:t>
      </w:r>
    </w:p>
    <w:p>
      <w:r>
        <w:rPr>
          <w:rFonts w:eastAsia="仿宋_GB2312"/>
          <w:sz w:val="32"/>
          <w:szCs w:val="32"/>
        </w:rPr>
        <w:t>（十六）承办市委、市政府交办的其他</w:t>
      </w:r>
      <w:r>
        <w:rPr>
          <w:rFonts w:hint="eastAsia" w:eastAsia="仿宋_GB2312"/>
          <w:sz w:val="32"/>
          <w:szCs w:val="32"/>
        </w:rPr>
        <w:t>任务</w:t>
      </w:r>
      <w:r>
        <w:rPr>
          <w:rFonts w:eastAsia="仿宋_GB2312"/>
          <w:sz w:val="32"/>
          <w:szCs w:val="32"/>
        </w:rPr>
        <w:t>。</w:t>
      </w:r>
    </w:p>
    <w:p>
      <w:pPr>
        <w:pStyle w:val="2"/>
        <w:numPr>
          <w:ilvl w:val="0"/>
          <w:numId w:val="1"/>
        </w:numPr>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机构设置</w:t>
      </w:r>
    </w:p>
    <w:p>
      <w:pPr>
        <w:ind w:firstLine="640" w:firstLineChars="200"/>
        <w:rPr>
          <w:rFonts w:ascii="仿宋" w:hAnsi="仿宋" w:eastAsia="仿宋"/>
          <w:sz w:val="32"/>
          <w:szCs w:val="32"/>
        </w:rPr>
      </w:pPr>
      <w:r>
        <w:rPr>
          <w:rFonts w:hint="eastAsia" w:ascii="仿宋" w:hAnsi="仿宋" w:eastAsia="仿宋"/>
          <w:sz w:val="32"/>
          <w:szCs w:val="32"/>
        </w:rPr>
        <w:t>邯郸市交通运输局内设机构10个。包括：办公室、政策法规处、综合规划处、财务审计处、人事处、公路处、运输处、安全监督与应急管理处（市国防动员委员会交通战备办公室）、直属机关党委、离退休干部处（交通运输工会）。</w:t>
      </w:r>
    </w:p>
    <w:p>
      <w:pPr>
        <w:pStyle w:val="35"/>
        <w:spacing w:line="560" w:lineRule="exact"/>
        <w:ind w:firstLine="640" w:firstLineChars="200"/>
        <w:jc w:val="left"/>
        <w:rPr>
          <w:rFonts w:ascii="仿宋" w:hAnsi="仿宋" w:eastAsia="仿宋"/>
          <w:sz w:val="32"/>
          <w:szCs w:val="32"/>
        </w:rPr>
      </w:pPr>
      <w:r>
        <w:rPr>
          <w:rFonts w:hint="eastAsia" w:ascii="仿宋" w:hAnsi="仿宋" w:eastAsia="仿宋"/>
          <w:sz w:val="32"/>
          <w:szCs w:val="32"/>
        </w:rPr>
        <w:t>邯郸市交通运输局所属预算单位21个。其中：行政单位1个，事业单位20个。具体情况如下：</w:t>
      </w:r>
    </w:p>
    <w:tbl>
      <w:tblPr>
        <w:tblStyle w:val="13"/>
        <w:tblpPr w:leftFromText="180" w:rightFromText="180" w:vertAnchor="text" w:tblpXSpec="center" w:tblpY="1"/>
        <w:tblOverlap w:val="never"/>
        <w:tblW w:w="988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5"/>
        <w:gridCol w:w="3509"/>
        <w:gridCol w:w="2552"/>
        <w:gridCol w:w="26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79" w:hRule="atLeast"/>
          <w:tblHeader/>
        </w:trPr>
        <w:tc>
          <w:tcPr>
            <w:tcW w:w="1135" w:type="dxa"/>
            <w:tcBorders>
              <w:top w:val="single" w:color="000000" w:sz="6" w:space="0"/>
              <w:left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序号</w:t>
            </w:r>
          </w:p>
        </w:tc>
        <w:tc>
          <w:tcPr>
            <w:tcW w:w="3509"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firstLine="723" w:firstLineChars="200"/>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单位名称</w:t>
            </w:r>
          </w:p>
        </w:tc>
        <w:tc>
          <w:tcPr>
            <w:tcW w:w="2552"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单位基本性质</w:t>
            </w:r>
          </w:p>
        </w:tc>
        <w:tc>
          <w:tcPr>
            <w:tcW w:w="2693" w:type="dxa"/>
            <w:tcBorders>
              <w:top w:val="single" w:color="000000" w:sz="6"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firstLine="354" w:firstLineChars="98"/>
              <w:rPr>
                <w:rFonts w:ascii="仿宋" w:hAnsi="仿宋" w:eastAsia="仿宋" w:cs="宋体"/>
                <w:b/>
                <w:color w:val="070809"/>
                <w:sz w:val="36"/>
                <w:szCs w:val="36"/>
                <w:lang w:val="zh-CN"/>
              </w:rPr>
            </w:pPr>
            <w:r>
              <w:rPr>
                <w:rFonts w:hint="eastAsia" w:ascii="仿宋" w:hAnsi="仿宋" w:eastAsia="仿宋" w:cs="宋体"/>
                <w:b/>
                <w:color w:val="070809"/>
                <w:sz w:val="36"/>
                <w:szCs w:val="36"/>
                <w:lang w:val="zh-CN"/>
              </w:rPr>
              <w:t>经费形式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atLeast"/>
        </w:trPr>
        <w:tc>
          <w:tcPr>
            <w:tcW w:w="1135"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w:t>
            </w:r>
          </w:p>
        </w:tc>
        <w:tc>
          <w:tcPr>
            <w:tcW w:w="3509"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邯郸市交通运输局机关</w:t>
            </w:r>
          </w:p>
        </w:tc>
        <w:tc>
          <w:tcPr>
            <w:tcW w:w="2552" w:type="dxa"/>
            <w:tcBorders>
              <w:top w:val="single" w:color="auto" w:sz="4"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行政单位</w:t>
            </w:r>
          </w:p>
        </w:tc>
        <w:tc>
          <w:tcPr>
            <w:tcW w:w="2693" w:type="dxa"/>
            <w:tcBorders>
              <w:top w:val="single" w:color="000000" w:sz="6" w:space="0"/>
              <w:left w:val="single" w:color="000000" w:sz="6" w:space="0"/>
              <w:bottom w:val="single" w:color="auto" w:sz="4"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财政拨款（行政）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84"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邯郸市交通运输局运输管理处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3</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邯郸市交通运输局出租汽车管理处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4</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邯郸市高速公路管理局</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财政性资金零补助（全额事业）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5</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邯郸市交通运输局超限超载治理处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6</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交通建设投资管理中心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财政性资金零补助（全额事业）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7</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邯郸市交通运输局公路养护管理处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8</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邯郸市交通运输局地方道路管理处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9</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邯郸市交通运输局公路路政管理处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10</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邯郸市交通运输局公路工程质量监督处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11</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邯郸市交通运输局合资合作公路管理处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12</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13</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邯郸市交通局公路项目办公室</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14</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邯郸市交通运输局城郊公路养护处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15</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邯郸市交通运输局场站建设管理处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16</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邯郸市交通运输局事务管理处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17</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邯郸市交通运输局国有资产管理处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18</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邯郸市交通运输局通信管理处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19</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邯郸市交通运输局培训中心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20</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邯郸市交通运输局材料供应处</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1" w:hRule="atLeast"/>
        </w:trPr>
        <w:tc>
          <w:tcPr>
            <w:tcW w:w="1135"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center"/>
              <w:rPr>
                <w:rFonts w:ascii="仿宋" w:hAnsi="仿宋" w:eastAsia="仿宋" w:cs="宋体"/>
                <w:color w:val="070809"/>
                <w:sz w:val="32"/>
                <w:szCs w:val="32"/>
                <w:lang w:val="zh-CN"/>
              </w:rPr>
            </w:pPr>
            <w:r>
              <w:rPr>
                <w:rFonts w:hint="eastAsia" w:ascii="仿宋" w:hAnsi="仿宋" w:eastAsia="仿宋" w:cs="宋体"/>
                <w:color w:val="070809"/>
                <w:sz w:val="32"/>
                <w:szCs w:val="32"/>
                <w:lang w:val="zh-CN"/>
              </w:rPr>
              <w:t>21</w:t>
            </w:r>
          </w:p>
        </w:tc>
        <w:tc>
          <w:tcPr>
            <w:tcW w:w="3509"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邯郸市交通运输局公路工程质量监理中心</w:t>
            </w:r>
          </w:p>
        </w:tc>
        <w:tc>
          <w:tcPr>
            <w:tcW w:w="2552"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财政补助事业单位</w:t>
            </w:r>
          </w:p>
        </w:tc>
        <w:tc>
          <w:tcPr>
            <w:tcW w:w="2693" w:type="dxa"/>
            <w:tcBorders>
              <w:top w:val="single" w:color="auto" w:sz="4" w:space="0"/>
              <w:left w:val="single" w:color="000000" w:sz="6" w:space="0"/>
              <w:bottom w:val="single" w:color="000000" w:sz="6" w:space="0"/>
              <w:right w:val="single" w:color="000000" w:sz="6" w:space="0"/>
            </w:tcBorders>
            <w:vAlign w:val="center"/>
          </w:tcPr>
          <w:p>
            <w:pPr>
              <w:shd w:val="clear" w:color="auto" w:fill="FFFFFE"/>
              <w:autoSpaceDE w:val="0"/>
              <w:autoSpaceDN w:val="0"/>
              <w:adjustRightInd w:val="0"/>
              <w:spacing w:line="560" w:lineRule="exact"/>
              <w:ind w:right="164"/>
              <w:jc w:val="left"/>
              <w:rPr>
                <w:rFonts w:ascii="仿宋" w:hAnsi="仿宋" w:eastAsia="仿宋" w:cs="宋体"/>
                <w:color w:val="070809"/>
                <w:sz w:val="32"/>
                <w:szCs w:val="32"/>
                <w:lang w:val="zh-CN"/>
              </w:rPr>
            </w:pPr>
            <w:r>
              <w:rPr>
                <w:rFonts w:hint="eastAsia" w:ascii="仿宋" w:hAnsi="仿宋" w:eastAsia="仿宋" w:cs="宋体"/>
                <w:color w:val="070809"/>
                <w:sz w:val="32"/>
                <w:szCs w:val="32"/>
                <w:lang w:val="zh-CN"/>
              </w:rPr>
              <w:t>财政性资金基本保证（全额事业）</w:t>
            </w:r>
          </w:p>
        </w:tc>
      </w:tr>
    </w:tbl>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7974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top:526;height:11;width:85;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top:528;height:12;width:8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宋体"/>
          <w:sz w:val="32"/>
          <w:szCs w:val="32"/>
        </w:rPr>
        <w:t>邯郸市交通运输局</w:t>
      </w:r>
      <w:r>
        <w:rPr>
          <w:rFonts w:hint="eastAsia" w:ascii="仿宋" w:hAnsi="仿宋" w:eastAsia="仿宋" w:cs="DengXian-Regular"/>
          <w:sz w:val="32"/>
          <w:szCs w:val="32"/>
        </w:rPr>
        <w:t>2019年度收支总计（含结转和结余）372294.14万元。与2018年度决算相比，收支各增加89311.36万元，增长31.56%，主要原因是政府性基金预算财政拨款收入增加109984.73万元。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本部门2019年度本年收入合计278948.95万元，其中：财政拨款收入276192.76万元，占</w:t>
      </w:r>
      <w:r>
        <w:rPr>
          <w:rFonts w:hint="eastAsia" w:ascii="仿宋" w:hAnsi="仿宋" w:eastAsia="仿宋" w:cs="宋体"/>
          <w:sz w:val="32"/>
          <w:szCs w:val="32"/>
        </w:rPr>
        <w:t>99</w:t>
      </w:r>
      <w:r>
        <w:rPr>
          <w:rFonts w:hint="eastAsia" w:ascii="仿宋" w:hAnsi="仿宋" w:eastAsia="仿宋" w:cs="DengXian-Regular"/>
          <w:sz w:val="32"/>
          <w:szCs w:val="32"/>
        </w:rPr>
        <w:t>%；其他收入2518.84万元，占1%。如图所示：</w:t>
      </w:r>
    </w:p>
    <w:p>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73.8pt;margin-top:8.3pt;height:247.35pt;width:303.05pt;z-index:251670528;mso-width-relative:page;mso-height-relative:page;" coordorigin="68,1800" coordsize="51,32442"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top:1800;height:29;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top:1829;height:4;width:3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pict>
          <v:shape id="_x0000_s1132" o:spid="_x0000_s1132" o:spt="202" type="#_x0000_t202" style="position:absolute;left:0pt;margin-left:195.95pt;margin-top:22.8pt;height:74.4pt;width:103.5pt;z-index:251683840;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v:path/>
            <v:fill on="f" focussize="0,0"/>
            <v:stroke on="f" joinstyle="miter"/>
            <v:imagedata o:title=""/>
            <o:lock v:ext="edit"/>
            <v:textbox style="mso-fit-shape-to-text:t;">
              <w:txbxContent>
                <w:p>
                  <w:pPr>
                    <w:jc w:val="center"/>
                    <w:rPr>
                      <w:sz w:val="28"/>
                      <w:szCs w:val="28"/>
                    </w:rPr>
                  </w:pPr>
                </w:p>
              </w:txbxContent>
            </v:textbox>
          </v:shape>
        </w:pict>
      </w:r>
      <w:r>
        <w:pict>
          <v:shape id="_x0000_s1133" o:spid="_x0000_s1133" o:spt="202" type="#_x0000_t202" style="position:absolute;left:0pt;margin-left:102.95pt;margin-top:22.05pt;height:55.2pt;width:79.5pt;z-index:251682816;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v:path/>
            <v:fill on="f" focussize="0,0"/>
            <v:stroke on="f" joinstyle="miter"/>
            <v:imagedata o:title=""/>
            <o:lock v:ext="edit"/>
            <v:textbox style="mso-fit-shape-to-text:t;">
              <w:txbxContent>
                <w:p>
                  <w:pPr>
                    <w:spacing w:line="400" w:lineRule="exact"/>
                    <w:jc w:val="center"/>
                    <w:rPr>
                      <w:sz w:val="28"/>
                      <w:szCs w:val="28"/>
                    </w:rPr>
                  </w:pPr>
                  <w:r>
                    <w:rPr>
                      <w:rFonts w:hint="eastAsia" w:asciiTheme="minorHAnsi" w:hAnsiTheme="minorHAnsi" w:eastAsiaTheme="minorEastAsia" w:cstheme="minorBidi"/>
                      <w:sz w:val="28"/>
                      <w:szCs w:val="28"/>
                    </w:rPr>
                    <w:t>其他收入1%</w:t>
                  </w:r>
                </w:p>
              </w:txbxContent>
            </v:textbox>
          </v:shape>
        </w:pict>
      </w:r>
    </w:p>
    <w:p>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pict>
          <v:shape id="等腰三角形 8" o:spid="_x0000_s1130" o:spt="5" type="#_x0000_t5" style="position:absolute;left:0pt;margin-left:169.7pt;margin-top:14.8pt;height:149.25pt;width:26.25pt;rotation:11796480f;z-index:251684864;v-text-anchor:middle;mso-width-relative:page;mso-height-relative:page;" fillcolor="#FF000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PXL8A&#10;AADaAAAADwAAAGRycy9kb3ducmV2LnhtbERPy4rCMBTdC/5DuII7TWcWItUoUhiZnY8portLc6cp&#10;09zUJGr9e7MQZnk47+W6t624kw+NYwUf0wwEceV0w7WC8udrMgcRIrLG1jEpeFKA9Wo4WGKu3YMP&#10;dD/GWqQQDjkqMDF2uZShMmQxTF1HnLhf5y3GBH0ttcdHCret/MyymbTYcGow2FFhqPo73qyCXXHZ&#10;mmJnN/tTzE7X+bk0viuVGo/6zQJEpD7+i9/ub60gbU1X0g2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iQ9cvwAAANoAAAAPAAAAAAAAAAAAAAAAAJgCAABkcnMvZG93bnJl&#10;di54bWxQSwUGAAAAAAQABAD1AAAAhAMAAAAA&#10;">
            <v:path/>
            <v:fill on="t" focussize="0,0"/>
            <v:stroke weight="2pt" color="#845209" joinstyle="miter"/>
            <v:imagedata o:title=""/>
            <o:lock v:ext="edit"/>
          </v:shape>
        </w:pict>
      </w:r>
      <w:r>
        <w:rPr>
          <w:rFonts w:ascii="仿宋_GB2312" w:eastAsia="仿宋_GB2312" w:cs="DengXian-Regular"/>
          <w:sz w:val="32"/>
          <w:szCs w:val="32"/>
        </w:rPr>
        <w:pict>
          <v:shape id="椭圆 6" o:spid="_x0000_s1129" o:spt="3" type="#_x0000_t3" style="position:absolute;left:0pt;margin-left:48.95pt;margin-top:14.8pt;height:291.75pt;width:268.5pt;z-index:251660288;v-text-anchor:middle;mso-width-relative:page;mso-height-relative:page;" fillcolor="#00B0F0"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dUMUA&#10;AADaAAAADwAAAGRycy9kb3ducmV2LnhtbESPQWvCQBSE70L/w/IKXkQ3egglzRqagqWgB7UttrdH&#10;9jUJzb6N2VWjv94VCh6HmfmGSbPeNOJInastK5hOIhDEhdU1lwo+PxbjJxDOI2tsLJOCMznI5g+D&#10;FBNtT7yh49aXIkDYJaig8r5NpHRFRQbdxLbEwfu1nUEfZFdK3eEpwE0jZ1EUS4M1h4UKW3qtqPjb&#10;HoyCn3iRc7xejnjVuiL/esPL926v1PCxf3kG4an39/B/+10riOF2Jd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t1QxQAAANoAAAAPAAAAAAAAAAAAAAAAAJgCAABkcnMv&#10;ZG93bnJldi54bWxQSwUGAAAAAAQABAD1AAAAigMAAAAA&#10;">
            <v:path/>
            <v:fill on="t" focussize="0,0"/>
            <v:stroke weight="2pt" color="#00B0F0"/>
            <v:imagedata o:title=""/>
            <o:lock v:ext="edit"/>
          </v:shape>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1" w:firstLineChars="200"/>
        <w:rPr>
          <w:rFonts w:ascii="黑体" w:eastAsia="黑体"/>
        </w:rPr>
      </w:pPr>
    </w:p>
    <w:p/>
    <w:p>
      <w:r>
        <w:pict>
          <v:shape id="_x0000_s1134" o:spid="_x0000_s1134" o:spt="202" type="#_x0000_t202" style="position:absolute;left:0pt;margin-left:145.7pt;margin-top:14.85pt;height:63.2pt;width:101.25pt;z-index:251681792;mso-width-relative:page;mso-height-relative:pag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财政拨款收入</w:t>
                  </w:r>
                </w:p>
                <w:p>
                  <w:pPr>
                    <w:spacing w:line="400" w:lineRule="exact"/>
                    <w:jc w:val="center"/>
                    <w:rPr>
                      <w:sz w:val="28"/>
                      <w:szCs w:val="28"/>
                    </w:rPr>
                  </w:pPr>
                  <w:r>
                    <w:rPr>
                      <w:rFonts w:hint="eastAsia" w:asciiTheme="minorHAnsi" w:hAnsiTheme="minorHAnsi" w:eastAsiaTheme="minorEastAsia" w:cstheme="minorBidi"/>
                      <w:sz w:val="28"/>
                      <w:szCs w:val="28"/>
                    </w:rPr>
                    <w:t>99%</w:t>
                  </w:r>
                </w:p>
              </w:txbxContent>
            </v:textbox>
          </v:shape>
        </w:pict>
      </w:r>
    </w:p>
    <w:p/>
    <w:p>
      <w:pPr>
        <w:pStyle w:val="3"/>
        <w:spacing w:before="0" w:after="0" w:line="580" w:lineRule="exact"/>
        <w:ind w:firstLine="641"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本部门2019年度本年支出合计264913.83万元，其中：基本支出35115.61万元，占13.26%；项目支出229798.22万元，占86.74%。如图所示：</w:t>
      </w:r>
    </w:p>
    <w:p>
      <w:pPr>
        <w:adjustRightInd w:val="0"/>
        <w:snapToGrid w:val="0"/>
        <w:spacing w:after="0" w:line="580" w:lineRule="exact"/>
        <w:ind w:firstLine="640" w:firstLineChars="200"/>
        <w:rPr>
          <w:rFonts w:ascii="仿宋" w:hAnsi="仿宋" w:eastAsia="仿宋" w:cs="DengXian-Regular"/>
          <w:sz w:val="32"/>
          <w:szCs w:val="32"/>
        </w:rPr>
      </w:pPr>
    </w:p>
    <w:p>
      <w:pPr>
        <w:adjustRightInd w:val="0"/>
        <w:snapToGrid w:val="0"/>
        <w:spacing w:after="0" w:line="580" w:lineRule="exact"/>
        <w:ind w:firstLine="420" w:firstLineChars="200"/>
        <w:rPr>
          <w:rFonts w:ascii="仿宋" w:hAnsi="仿宋" w:eastAsia="仿宋" w:cs="DengXian-Regular"/>
          <w:sz w:val="32"/>
          <w:szCs w:val="32"/>
        </w:rPr>
      </w:pPr>
      <w:r>
        <w:pict>
          <v:shape id="_x0000_s1137" o:spid="_x0000_s1137" o:spt="202" type="#_x0000_t202" style="position:absolute;left:0pt;margin-left:168.85pt;margin-top:22.05pt;height:55.2pt;width:79.5pt;z-index:2516879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基本支出</w:t>
                  </w:r>
                  <w:r>
                    <w:rPr>
                      <w:sz w:val="28"/>
                      <w:szCs w:val="28"/>
                    </w:rPr>
                    <w:t>1</w:t>
                  </w:r>
                  <w:r>
                    <w:rPr>
                      <w:rFonts w:hint="eastAsia"/>
                      <w:sz w:val="28"/>
                      <w:szCs w:val="28"/>
                    </w:rPr>
                    <w:t>3.26</w:t>
                  </w:r>
                  <w:r>
                    <w:rPr>
                      <w:sz w:val="28"/>
                      <w:szCs w:val="28"/>
                    </w:rPr>
                    <w:t>%</w:t>
                  </w:r>
                </w:p>
              </w:txbxContent>
            </v:textbox>
          </v:shape>
        </w:pict>
      </w:r>
    </w:p>
    <w:p>
      <w:pPr>
        <w:adjustRightInd w:val="0"/>
        <w:snapToGrid w:val="0"/>
        <w:spacing w:after="0" w:line="580" w:lineRule="exact"/>
        <w:ind w:firstLine="1260" w:firstLineChars="600"/>
        <w:rPr>
          <w:rFonts w:ascii="仿宋_GB2312" w:cs="DengXian-Regular" w:eastAsiaTheme="minorEastAsia"/>
          <w:sz w:val="32"/>
          <w:szCs w:val="32"/>
        </w:rPr>
      </w:pPr>
      <w:r>
        <w:pict>
          <v:shape id="等腰三角形 14" o:spid="_x0000_s1138" o:spt="5" type="#_x0000_t5" style="position:absolute;left:0pt;margin-left:198.5pt;margin-top:13.6pt;height:149.25pt;width:38.25pt;rotation:-11416894f;z-index:251686912;v-text-anchor:middle;mso-width-relative:page;mso-height-relative:page;" fillcolor="#FF000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">
            <v:path/>
            <v:fill on="t" focussize="0,0"/>
            <v:stroke weight="2pt" color="#845209" joinstyle="miter"/>
            <v:imagedata o:title=""/>
            <o:lock v:ext="edit"/>
          </v:shape>
        </w:pict>
      </w:r>
      <w:r>
        <w:pict>
          <v:shape id="椭圆 1" o:spid="_x0000_s1139" o:spt="3" type="#_x0000_t3" style="position:absolute;left:0pt;margin-left:71.5pt;margin-top:12.4pt;height:291.75pt;width:268.5pt;z-index:251685888;v-text-anchor:middle;mso-width-relative:page;mso-height-relative:page;" fillcolor="#00B0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">
            <v:path/>
            <v:fill on="t" focussize="0,0"/>
            <v:stroke weight="2pt" color="#00B0F0"/>
            <v:imagedata o:title=""/>
            <o:lock v:ext="edit"/>
          </v:shape>
        </w:pict>
      </w: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920" w:firstLineChars="600"/>
        <w:rPr>
          <w:rFonts w:ascii="仿宋_GB2312" w:cs="DengXian-Regular" w:eastAsiaTheme="minorEastAsia"/>
          <w:sz w:val="32"/>
          <w:szCs w:val="32"/>
        </w:rPr>
      </w:pP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6976;mso-width-relative:page;mso-height-relative:page;" coordorigin="70,1907" coordsize="46,36072"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top:1936;height:7;width:42;"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1260" w:firstLineChars="600"/>
        <w:rPr>
          <w:rFonts w:ascii="仿宋_GB2312" w:eastAsia="仿宋_GB2312" w:cs="DengXian-Regular"/>
          <w:sz w:val="32"/>
          <w:szCs w:val="32"/>
        </w:rPr>
      </w:pPr>
      <w:r>
        <w:pict>
          <v:shape id="_x0000_s1136" o:spid="_x0000_s1136" o:spt="202" type="#_x0000_t202" style="position:absolute;left:0pt;margin-left:182.35pt;margin-top:21.05pt;height:55.2pt;width:101.25pt;z-index:2516889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">
            <v:path/>
            <v:fill on="f" focussize="0,0"/>
            <v:stroke on="f" joinstyle="miter"/>
            <v:imagedata o:title=""/>
            <o:lock v:ext="edit"/>
            <v:textbox style="mso-fit-shape-to-text:t;">
              <w:txbxContent>
                <w:p>
                  <w:pPr>
                    <w:spacing w:line="400" w:lineRule="exact"/>
                    <w:jc w:val="center"/>
                    <w:rPr>
                      <w:sz w:val="28"/>
                      <w:szCs w:val="28"/>
                    </w:rPr>
                  </w:pPr>
                  <w:r>
                    <w:rPr>
                      <w:rFonts w:hint="eastAsia"/>
                      <w:sz w:val="28"/>
                      <w:szCs w:val="28"/>
                    </w:rPr>
                    <w:t>项目支出</w:t>
                  </w:r>
                  <w:r>
                    <w:rPr>
                      <w:sz w:val="28"/>
                      <w:szCs w:val="28"/>
                    </w:rPr>
                    <w:t>8</w:t>
                  </w:r>
                  <w:r>
                    <w:rPr>
                      <w:rFonts w:hint="eastAsia"/>
                      <w:sz w:val="28"/>
                      <w:szCs w:val="28"/>
                    </w:rPr>
                    <w:t>6.74</w:t>
                  </w:r>
                  <w:r>
                    <w:rPr>
                      <w:sz w:val="28"/>
                      <w:szCs w:val="28"/>
                    </w:rPr>
                    <w:t>%</w:t>
                  </w:r>
                </w:p>
              </w:txbxContent>
            </v:textbox>
          </v:shape>
        </w:pict>
      </w:r>
      <w:r>
        <w:rPr>
          <w:sz w:val="44"/>
        </w:rPr>
        <w:pict>
          <v:group id="_x0000_s1070" o:spid="_x0000_s1070" o:spt="203" style="position:absolute;left:0pt;margin-left:-0.55pt;margin-top:29.3pt;height:43.95pt;width:301.85pt;mso-position-horizontal-relative:page;mso-position-vertical-relative:page;z-index:25167462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top:526;height:11;width:85;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top:528;height:12;width:8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1" w:firstLineChars="200"/>
        <w:rPr>
          <w:rFonts w:ascii="黑体" w:eastAsia="黑体"/>
        </w:rPr>
      </w:pPr>
    </w:p>
    <w:p>
      <w:pPr>
        <w:pStyle w:val="3"/>
        <w:spacing w:before="0" w:after="0" w:line="580" w:lineRule="exact"/>
        <w:ind w:firstLine="641" w:firstLineChars="200"/>
        <w:rPr>
          <w:rFonts w:ascii="黑体" w:eastAsia="黑体"/>
        </w:rPr>
      </w:pPr>
    </w:p>
    <w:p>
      <w:pPr>
        <w:pStyle w:val="3"/>
        <w:spacing w:before="0" w:after="0" w:line="580" w:lineRule="exact"/>
        <w:ind w:firstLine="641"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（一）财政拨款收支与2018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财政拨款本年收入276192.76万元,比2018年度增加101338.27万元，增长57.96%，主要是2019年征地和拆迁补偿支出安排的收入增加52391.88万元、公路还贷安排的收入增加59569.47万元；本年支出264503.14万元，增加76557.57万元，增长40.73%，主要是2019年征地和拆迁补偿支出增加52391.88万元、公路还贷支出增加59569.47万元。具体情况如下：</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1、一般公共预算财政拨款本年收入62611.97万元，比上年减少8646.46万元；主要是项目收入比上年减少11779.04万元；本年支出49915.38万元，比上年减少61599.74万元，降低55.24%，主要是项目支出减少65038.71万元。</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政府性基金预算财政拨款本年收入213580.78万元，比上年增加109984.73万元，增长106.17%，主要原因是2019年征地和拆迁补偿支出安排的收入增加52391.88万元、公路还贷安排的收入增加59569.47万元；本年支出214587.76万元，比上年增加138157.32万元，增长180.76%，主要2019年征地和拆迁补偿支出增加52391.88万元、公路还贷支出增加59569.47万元。</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财政拨款本年收入276192.76万元，完成年初预算的224.46%,比年初预算增加153145.74万元，决算数大于预算数主要原因是2019年征地和拆迁补偿支出安排的收入增加52391.88万元、公路还贷安排的收入增加59569.47万元；本年支出264503.14万元，完成年初预算的</w:t>
      </w:r>
      <w:r>
        <w:rPr>
          <w:rFonts w:hint="eastAsia" w:ascii="仿宋" w:hAnsi="仿宋" w:eastAsia="仿宋" w:cs="宋体"/>
          <w:sz w:val="32"/>
          <w:szCs w:val="32"/>
        </w:rPr>
        <w:t>214.96</w:t>
      </w:r>
      <w:r>
        <w:rPr>
          <w:rFonts w:hint="eastAsia" w:ascii="仿宋" w:hAnsi="仿宋" w:eastAsia="仿宋" w:cs="DengXian-Regular"/>
          <w:sz w:val="32"/>
          <w:szCs w:val="32"/>
        </w:rPr>
        <w:t>%,比年初预算增加141456.12万元，决算数大于预算数主要原因是2019年征地和拆迁补偿支出增加52391.88万元、公路还贷支出增加59569.47万元。具体情况如下：</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1、公共预算财政拨款本年收入完成年初预算224.09%，比年初预算增加34671.12万元，主要是部分项目年初预算未下达；支出完成年初预算178.65%，比年初预算增加21974.53万元，主要是部分项目年初预算未下达。</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2、政府性基金预算财政拨款本年收入完成年初预算</w:t>
      </w:r>
      <w:r>
        <w:rPr>
          <w:rFonts w:hint="eastAsia" w:ascii="仿宋" w:hAnsi="仿宋" w:eastAsia="仿宋" w:cs="宋体"/>
          <w:sz w:val="32"/>
          <w:szCs w:val="32"/>
        </w:rPr>
        <w:t>224.57</w:t>
      </w:r>
      <w:r>
        <w:rPr>
          <w:rFonts w:hint="eastAsia" w:ascii="仿宋" w:hAnsi="仿宋" w:eastAsia="仿宋" w:cs="DengXian-Regular"/>
          <w:sz w:val="32"/>
          <w:szCs w:val="32"/>
        </w:rPr>
        <w:t>%，比年初预算增加</w:t>
      </w:r>
      <w:r>
        <w:rPr>
          <w:rFonts w:hint="eastAsia" w:ascii="仿宋" w:hAnsi="仿宋" w:eastAsia="仿宋" w:cs="宋体"/>
          <w:sz w:val="32"/>
          <w:szCs w:val="32"/>
        </w:rPr>
        <w:t>118474.61</w:t>
      </w:r>
      <w:r>
        <w:rPr>
          <w:rFonts w:hint="eastAsia" w:ascii="仿宋" w:hAnsi="仿宋" w:eastAsia="仿宋" w:cs="DengXian-Regular"/>
          <w:sz w:val="32"/>
          <w:szCs w:val="32"/>
        </w:rPr>
        <w:t>万元，主要是部分项目年初预算未下达；支出完成年初预算225.63%，比年初预算增加119481.59万元，主要是部分项目年初预算未下达。</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2019年度财政拨款支出264503.14万元，主要用于以下方面：一般公共服务（类）支出2万元，占0%；社会保障和就业（类）支出3991.68万元，占1</w:t>
      </w:r>
      <w:r>
        <w:rPr>
          <w:rFonts w:hint="eastAsia" w:ascii="仿宋" w:hAnsi="仿宋" w:eastAsia="仿宋" w:cs="宋体"/>
          <w:sz w:val="32"/>
          <w:szCs w:val="32"/>
        </w:rPr>
        <w:t>.51</w:t>
      </w:r>
      <w:r>
        <w:rPr>
          <w:rFonts w:hint="eastAsia" w:ascii="仿宋" w:hAnsi="仿宋" w:eastAsia="仿宋" w:cs="DengXian-Regular"/>
          <w:sz w:val="32"/>
          <w:szCs w:val="32"/>
        </w:rPr>
        <w:t>%；卫生健康支出1061.88万元，占0.4%；</w:t>
      </w:r>
      <w:r>
        <w:rPr>
          <w:rFonts w:hint="eastAsia" w:ascii="仿宋" w:hAnsi="仿宋" w:eastAsia="仿宋" w:cs="宋体"/>
          <w:sz w:val="32"/>
          <w:szCs w:val="32"/>
        </w:rPr>
        <w:t>城乡社区支出72019.21万元，占27.23%；交通运输支出173096.32万元，占65.44%；金融支出115万元，占0.04%；</w:t>
      </w:r>
      <w:r>
        <w:rPr>
          <w:rFonts w:hint="eastAsia" w:ascii="仿宋" w:hAnsi="仿宋" w:eastAsia="仿宋" w:cs="DengXian-Regular"/>
          <w:sz w:val="32"/>
          <w:szCs w:val="32"/>
        </w:rPr>
        <w:t>住房保障（类）支出682.56万元，占 0</w:t>
      </w:r>
      <w:r>
        <w:rPr>
          <w:rFonts w:hint="eastAsia" w:ascii="仿宋" w:hAnsi="仿宋" w:eastAsia="仿宋" w:cs="宋体"/>
          <w:sz w:val="32"/>
          <w:szCs w:val="32"/>
        </w:rPr>
        <w:t>.26</w:t>
      </w:r>
      <w:r>
        <w:rPr>
          <w:rFonts w:hint="eastAsia" w:ascii="仿宋" w:hAnsi="仿宋" w:eastAsia="仿宋" w:cs="DengXian-Regular"/>
          <w:sz w:val="32"/>
          <w:szCs w:val="32"/>
        </w:rPr>
        <w:t>%；其他支出13534.48万元，占5.12%。</w:t>
      </w:r>
    </w:p>
    <w:p>
      <w:pPr>
        <w:adjustRightInd w:val="0"/>
        <w:snapToGrid w:val="0"/>
        <w:spacing w:after="0" w:line="580" w:lineRule="exact"/>
        <w:ind w:firstLine="420" w:firstLineChars="200"/>
        <w:rPr>
          <w:rFonts w:ascii="楷体_GB2312" w:eastAsia="楷体_GB2312" w:cs="DengXian-Bold"/>
          <w:b/>
          <w:bCs/>
          <w:sz w:val="32"/>
          <w:szCs w:val="32"/>
        </w:rPr>
      </w:pPr>
      <w:r>
        <w:pict>
          <v:group id="_x0000_s1055" o:spid="_x0000_s1055" o:spt="203" style="position:absolute;left:0pt;margin-left:86.35pt;margin-top:15.9pt;height:195.05pt;width:296.35pt;z-index:-251635712;mso-width-relative:page;mso-height-relative:page;" coordorigin="69,1802" coordsize="53,38862"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top:1831;height:10;width:53;"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r>
        <w:rPr>
          <w:sz w:val="44"/>
        </w:rPr>
        <w:pict>
          <v:group id="_x0000_s1052" o:spid="_x0000_s1052" o:spt="203" style="position:absolute;left:0pt;margin-left:-0.55pt;margin-top:29.3pt;height:43.95pt;width:301.85pt;mso-position-horizontal-relative:page;mso-position-vertical-relative:page;z-index:251675648;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top:526;height:11;width:85;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top:528;height:12;width:8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2019 年度财政拨款基本支出15528.29万元，其中：人员经费14192.35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1335.94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 “三公”经费支出共计81.21万元，</w:t>
      </w:r>
      <w:r>
        <w:rPr>
          <w:rFonts w:hint="eastAsia" w:ascii="仿宋" w:hAnsi="仿宋" w:eastAsia="仿宋" w:cs="DengXian-Regular"/>
          <w:bCs/>
          <w:sz w:val="32"/>
          <w:szCs w:val="32"/>
        </w:rPr>
        <w:t>完成预算的72.02%，较预算减少31.55万元，降低27.98%，</w:t>
      </w:r>
      <w:r>
        <w:rPr>
          <w:rFonts w:hint="eastAsia" w:ascii="仿宋" w:hAnsi="仿宋" w:eastAsia="仿宋" w:cs="DengXian-Regular"/>
          <w:sz w:val="32"/>
          <w:szCs w:val="32"/>
        </w:rPr>
        <w:t>主要是认真贯彻落实中央</w:t>
      </w:r>
      <w:bookmarkStart w:id="0" w:name="_GoBack"/>
      <w:bookmarkEnd w:id="0"/>
      <w:r>
        <w:rPr>
          <w:rFonts w:hint="eastAsia" w:ascii="仿宋" w:hAnsi="仿宋" w:eastAsia="仿宋" w:cs="DengXian-Regular"/>
          <w:sz w:val="32"/>
          <w:szCs w:val="32"/>
        </w:rPr>
        <w:t>八项规定精神和厉行节约要求，从严控制“三公”经费开支，全年实际支出与年初预算相比有所下降。具体情况如下：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667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top:526;height:11;width:85;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top:528;height:12;width:8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本部门2019年度无因公出国（境）支出。与年初预算持平。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78.79</w:t>
      </w:r>
      <w:r>
        <w:rPr>
          <w:rFonts w:hint="eastAsia" w:ascii="楷体_GB2312" w:eastAsia="楷体_GB2312" w:cs="DengXian-Bold"/>
          <w:b/>
          <w:bCs/>
          <w:sz w:val="32"/>
          <w:szCs w:val="32"/>
        </w:rPr>
        <w:t>万元。</w:t>
      </w:r>
      <w:r>
        <w:rPr>
          <w:rFonts w:hint="eastAsia" w:ascii="仿宋" w:hAnsi="仿宋" w:eastAsia="仿宋" w:cs="DengXian-Regular"/>
          <w:sz w:val="32"/>
          <w:szCs w:val="32"/>
        </w:rPr>
        <w:t>本部门2019年度公务用车购置及运行维护费较预算减少25.78万元，降低24.65%,主要是严控“三公”经费支出，加大公务用车审批管理力度所致；较上年减少5.2万元，降低6.19%，主要是严控“三公”经费支出，加大公务用车审批管理力度所致。</w:t>
      </w:r>
      <w:r>
        <w:rPr>
          <w:rFonts w:hint="eastAsia" w:ascii="楷体" w:hAnsi="楷体" w:eastAsia="楷体" w:cs="DengXian-Bold"/>
          <w:b/>
          <w:bCs/>
          <w:sz w:val="32"/>
          <w:szCs w:val="32"/>
        </w:rPr>
        <w:t>其中：</w:t>
      </w:r>
    </w:p>
    <w:p>
      <w:pPr>
        <w:adjustRightInd w:val="0"/>
        <w:snapToGrid w:val="0"/>
        <w:spacing w:after="0" w:line="580" w:lineRule="exact"/>
        <w:ind w:firstLine="643" w:firstLineChars="200"/>
        <w:rPr>
          <w:rFonts w:ascii="仿宋" w:hAnsi="仿宋" w:eastAsia="仿宋" w:cs="DengXian-Regular"/>
          <w:color w:val="000000" w:themeColor="text1"/>
          <w:sz w:val="32"/>
          <w:szCs w:val="32"/>
        </w:rPr>
      </w:pPr>
      <w:r>
        <w:rPr>
          <w:rFonts w:hint="eastAsia" w:ascii="楷体" w:hAnsi="楷体" w:eastAsia="楷体" w:cs="DengXian-Regular"/>
          <w:b/>
          <w:sz w:val="32"/>
          <w:szCs w:val="32"/>
        </w:rPr>
        <w:t>公务用车购置费：</w:t>
      </w:r>
      <w:r>
        <w:rPr>
          <w:rFonts w:hint="eastAsia" w:ascii="仿宋" w:hAnsi="仿宋" w:eastAsia="仿宋" w:cs="DengXian-Regular"/>
          <w:sz w:val="32"/>
          <w:szCs w:val="32"/>
        </w:rPr>
        <w:t>本部门2019年度未发生公务用车购置经费支出，</w:t>
      </w:r>
      <w:r>
        <w:rPr>
          <w:rFonts w:hint="eastAsia" w:ascii="仿宋" w:hAnsi="仿宋" w:eastAsia="仿宋" w:cs="宋体"/>
          <w:sz w:val="32"/>
          <w:szCs w:val="32"/>
        </w:rPr>
        <w:t>与年初预算持平。</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 w:hAnsi="楷体" w:eastAsia="楷体" w:cs="DengXian-Regular"/>
          <w:b/>
          <w:sz w:val="32"/>
          <w:szCs w:val="32"/>
        </w:rPr>
        <w:t>公务用车运行维护费：</w:t>
      </w:r>
      <w:r>
        <w:rPr>
          <w:rFonts w:hint="eastAsia" w:ascii="仿宋" w:hAnsi="仿宋" w:eastAsia="仿宋" w:cs="DengXian-Regular"/>
          <w:sz w:val="32"/>
          <w:szCs w:val="32"/>
        </w:rPr>
        <w:t>本部门2019年度单位公务用车保有量249辆。公车运行维护费支出较预算减少25.78万元，降低24.65%,主要是严控“三公”经费支出，加大公务用车审批管理力度所致；较上年减少5.2万元，降低6.19%，主要是严控“三公”经费支出，加大公务用车审批管理力度所致。</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2</w:t>
      </w:r>
      <w:r>
        <w:rPr>
          <w:rFonts w:hint="eastAsia" w:ascii="宋体" w:hAnsi="宋体" w:cs="宋体"/>
          <w:b/>
          <w:bCs/>
          <w:sz w:val="32"/>
          <w:szCs w:val="32"/>
        </w:rPr>
        <w:t>.42</w:t>
      </w:r>
      <w:r>
        <w:rPr>
          <w:rFonts w:hint="eastAsia" w:ascii="楷体_GB2312" w:eastAsia="楷体_GB2312" w:cs="DengXian-Bold"/>
          <w:b/>
          <w:bCs/>
          <w:sz w:val="32"/>
          <w:szCs w:val="32"/>
        </w:rPr>
        <w:t>万元。</w:t>
      </w:r>
      <w:r>
        <w:rPr>
          <w:rFonts w:ascii="仿宋" w:hAnsi="仿宋" w:eastAsia="仿宋"/>
          <w:sz w:val="44"/>
        </w:rPr>
        <w:pict>
          <v:group id="_x0000_s1043" o:spid="_x0000_s1043" o:spt="203" style="position:absolute;left:0pt;margin-left:-0.55pt;margin-top:29.3pt;height:43.95pt;width:301.85pt;mso-position-horizontal-relative:page;mso-position-vertical-relative:page;z-index:251677696;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top:526;height:11;width:85;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top:528;height:12;width:8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DengXian-Regular"/>
          <w:sz w:val="32"/>
          <w:szCs w:val="32"/>
        </w:rPr>
        <w:t>本部门2019年度公务接待共24批次、234人次。公务接待费支出较预算减少5.77万元，降低70.45%,主要是严控“三公”经费公务接待费审批管理力度所致；较上年减少0.07万元，降低2.81%，主要是严控“三公”经费公务接待费审批管理力度所致。</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ascii="楷体" w:hAnsi="楷体" w:eastAsia="楷体" w:cs="DengXian-Regular"/>
          <w:b/>
          <w:sz w:val="32"/>
          <w:szCs w:val="32"/>
        </w:rPr>
      </w:pPr>
      <w:r>
        <w:rPr>
          <w:rFonts w:hint="eastAsia" w:ascii="楷体" w:hAnsi="楷体" w:eastAsia="楷体" w:cs="DengXian-Regular"/>
          <w:b/>
          <w:sz w:val="32"/>
          <w:szCs w:val="32"/>
        </w:rPr>
        <w:t>（一）预算绩效管理工作开展情况。</w:t>
      </w:r>
    </w:p>
    <w:p>
      <w:pPr>
        <w:pStyle w:val="36"/>
        <w:spacing w:line="580" w:lineRule="exact"/>
        <w:ind w:firstLine="640" w:firstLineChars="200"/>
        <w:rPr>
          <w:rFonts w:ascii="仿宋" w:hAnsi="仿宋" w:eastAsia="仿宋"/>
          <w:color w:val="000000"/>
          <w:kern w:val="2"/>
          <w:sz w:val="32"/>
          <w:szCs w:val="32"/>
        </w:rPr>
      </w:pPr>
      <w:r>
        <w:rPr>
          <w:rFonts w:hint="eastAsia" w:ascii="仿宋" w:hAnsi="仿宋" w:eastAsia="仿宋"/>
          <w:color w:val="000000"/>
          <w:kern w:val="2"/>
          <w:sz w:val="32"/>
          <w:szCs w:val="32"/>
        </w:rPr>
        <w:t>按照省交通运输厅和市财政局</w:t>
      </w:r>
      <w:r>
        <w:rPr>
          <w:rFonts w:ascii="仿宋" w:hAnsi="仿宋" w:eastAsia="仿宋"/>
          <w:color w:val="000000"/>
          <w:kern w:val="2"/>
          <w:sz w:val="32"/>
          <w:szCs w:val="32"/>
        </w:rPr>
        <w:t>有关要求， 对201</w:t>
      </w:r>
      <w:r>
        <w:rPr>
          <w:rFonts w:hint="eastAsia" w:ascii="仿宋" w:hAnsi="仿宋" w:eastAsia="仿宋"/>
          <w:color w:val="000000"/>
          <w:kern w:val="2"/>
          <w:sz w:val="32"/>
          <w:szCs w:val="32"/>
        </w:rPr>
        <w:t>9</w:t>
      </w:r>
      <w:r>
        <w:rPr>
          <w:rFonts w:ascii="仿宋" w:hAnsi="仿宋" w:eastAsia="仿宋"/>
          <w:color w:val="000000"/>
          <w:kern w:val="2"/>
          <w:sz w:val="32"/>
          <w:szCs w:val="32"/>
        </w:rPr>
        <w:t>年</w:t>
      </w:r>
      <w:r>
        <w:rPr>
          <w:rFonts w:hint="eastAsia" w:ascii="仿宋" w:hAnsi="仿宋" w:eastAsia="仿宋"/>
          <w:color w:val="000000"/>
          <w:kern w:val="2"/>
          <w:sz w:val="32"/>
          <w:szCs w:val="32"/>
        </w:rPr>
        <w:t>度</w:t>
      </w:r>
      <w:r>
        <w:rPr>
          <w:rFonts w:ascii="仿宋" w:hAnsi="仿宋" w:eastAsia="仿宋"/>
          <w:color w:val="000000"/>
          <w:kern w:val="2"/>
          <w:sz w:val="32"/>
          <w:szCs w:val="32"/>
        </w:rPr>
        <w:t>中央专项转移支付的</w:t>
      </w:r>
      <w:r>
        <w:rPr>
          <w:rFonts w:hint="eastAsia" w:ascii="仿宋" w:hAnsi="仿宋" w:eastAsia="仿宋"/>
          <w:color w:val="000000"/>
          <w:kern w:val="2"/>
          <w:sz w:val="32"/>
          <w:szCs w:val="32"/>
        </w:rPr>
        <w:t>车辆购置税收入补助地方</w:t>
      </w:r>
      <w:r>
        <w:rPr>
          <w:rFonts w:ascii="仿宋" w:hAnsi="仿宋" w:eastAsia="仿宋"/>
          <w:color w:val="000000"/>
          <w:kern w:val="2"/>
          <w:sz w:val="32"/>
          <w:szCs w:val="32"/>
        </w:rPr>
        <w:t>专项资金所涉及项目进行绩效评价，纳入本次绩效评价范围的专项包括</w:t>
      </w:r>
      <w:r>
        <w:rPr>
          <w:rFonts w:hint="eastAsia" w:ascii="仿宋" w:hAnsi="仿宋" w:eastAsia="仿宋"/>
          <w:color w:val="000000"/>
          <w:kern w:val="2"/>
          <w:sz w:val="32"/>
          <w:szCs w:val="32"/>
        </w:rPr>
        <w:t>重点项目、危桥加固、指路标志调整、服务区建设</w:t>
      </w:r>
      <w:r>
        <w:rPr>
          <w:rFonts w:ascii="仿宋" w:hAnsi="仿宋" w:eastAsia="仿宋"/>
          <w:color w:val="000000"/>
          <w:kern w:val="2"/>
          <w:sz w:val="32"/>
          <w:szCs w:val="32"/>
        </w:rPr>
        <w:t>等共</w:t>
      </w:r>
      <w:r>
        <w:rPr>
          <w:rFonts w:hint="eastAsia" w:ascii="仿宋" w:hAnsi="仿宋" w:eastAsia="仿宋"/>
          <w:color w:val="000000"/>
          <w:kern w:val="2"/>
          <w:sz w:val="32"/>
          <w:szCs w:val="32"/>
        </w:rPr>
        <w:t>5</w:t>
      </w:r>
      <w:r>
        <w:rPr>
          <w:rFonts w:ascii="仿宋" w:hAnsi="仿宋" w:eastAsia="仿宋"/>
          <w:color w:val="000000"/>
          <w:kern w:val="2"/>
          <w:sz w:val="32"/>
          <w:szCs w:val="32"/>
        </w:rPr>
        <w:t>类支出</w:t>
      </w:r>
      <w:r>
        <w:rPr>
          <w:rFonts w:hint="eastAsia" w:ascii="仿宋" w:hAnsi="仿宋" w:eastAsia="仿宋"/>
          <w:color w:val="000000"/>
          <w:kern w:val="2"/>
          <w:sz w:val="32"/>
          <w:szCs w:val="32"/>
        </w:rPr>
        <w:t>14</w:t>
      </w:r>
      <w:r>
        <w:rPr>
          <w:rFonts w:ascii="仿宋" w:hAnsi="仿宋" w:eastAsia="仿宋"/>
          <w:color w:val="000000"/>
          <w:kern w:val="2"/>
          <w:sz w:val="32"/>
          <w:szCs w:val="32"/>
        </w:rPr>
        <w:t>个项目</w:t>
      </w:r>
      <w:r>
        <w:rPr>
          <w:rFonts w:hint="eastAsia" w:ascii="仿宋" w:hAnsi="仿宋" w:eastAsia="仿宋"/>
          <w:color w:val="000000"/>
          <w:kern w:val="2"/>
          <w:sz w:val="32"/>
          <w:szCs w:val="32"/>
        </w:rPr>
        <w:t>；对</w:t>
      </w:r>
      <w:r>
        <w:rPr>
          <w:rFonts w:ascii="仿宋" w:hAnsi="仿宋" w:eastAsia="仿宋"/>
          <w:color w:val="000000"/>
          <w:kern w:val="2"/>
          <w:sz w:val="32"/>
          <w:szCs w:val="32"/>
        </w:rPr>
        <w:t>201</w:t>
      </w:r>
      <w:r>
        <w:rPr>
          <w:rFonts w:hint="eastAsia" w:ascii="仿宋" w:hAnsi="仿宋" w:eastAsia="仿宋"/>
          <w:color w:val="000000"/>
          <w:kern w:val="2"/>
          <w:sz w:val="32"/>
          <w:szCs w:val="32"/>
        </w:rPr>
        <w:t>9</w:t>
      </w:r>
      <w:r>
        <w:rPr>
          <w:rFonts w:ascii="仿宋" w:hAnsi="仿宋" w:eastAsia="仿宋"/>
          <w:color w:val="000000"/>
          <w:kern w:val="2"/>
          <w:sz w:val="32"/>
          <w:szCs w:val="32"/>
        </w:rPr>
        <w:t>年</w:t>
      </w:r>
      <w:r>
        <w:rPr>
          <w:rFonts w:hint="eastAsia" w:ascii="仿宋" w:hAnsi="仿宋" w:eastAsia="仿宋"/>
          <w:color w:val="000000"/>
          <w:kern w:val="2"/>
          <w:sz w:val="32"/>
          <w:szCs w:val="32"/>
        </w:rPr>
        <w:t>度省级交通运输部门预算的成品油价格和税费改革转移支付资金</w:t>
      </w:r>
      <w:r>
        <w:rPr>
          <w:rFonts w:ascii="仿宋" w:hAnsi="仿宋" w:eastAsia="仿宋"/>
          <w:color w:val="000000"/>
          <w:kern w:val="2"/>
          <w:sz w:val="32"/>
          <w:szCs w:val="32"/>
        </w:rPr>
        <w:t>所涉及项目进行绩效评价，纳入本次绩效评价范围的专项包括</w:t>
      </w:r>
      <w:r>
        <w:rPr>
          <w:rFonts w:hint="eastAsia" w:ascii="仿宋" w:hAnsi="仿宋" w:eastAsia="仿宋"/>
          <w:color w:val="000000"/>
          <w:kern w:val="2"/>
          <w:sz w:val="32"/>
          <w:szCs w:val="32"/>
        </w:rPr>
        <w:t>公路新改建、公路大中修、危桥加固、安防及灾害防治、机械设备购置、储备物资、治超专项等共9类支出63个项目。</w:t>
      </w:r>
    </w:p>
    <w:p>
      <w:pPr>
        <w:adjustRightInd w:val="0"/>
        <w:snapToGrid w:val="0"/>
        <w:spacing w:after="0" w:line="580" w:lineRule="exact"/>
        <w:ind w:firstLine="643" w:firstLineChars="200"/>
        <w:rPr>
          <w:rFonts w:ascii="楷体" w:hAnsi="楷体" w:eastAsia="楷体" w:cs="DengXian-Regular"/>
          <w:b/>
          <w:sz w:val="32"/>
          <w:szCs w:val="32"/>
        </w:rPr>
      </w:pPr>
      <w:r>
        <w:rPr>
          <w:rFonts w:hint="eastAsia" w:ascii="楷体" w:hAnsi="楷体" w:eastAsia="楷体" w:cs="DengXian-Regular"/>
          <w:b/>
          <w:sz w:val="32"/>
          <w:szCs w:val="32"/>
        </w:rPr>
        <w:t>（二）项目绩效自评结果。</w:t>
      </w:r>
    </w:p>
    <w:p>
      <w:pPr>
        <w:spacing w:line="360" w:lineRule="auto"/>
        <w:ind w:firstLine="640" w:firstLineChars="200"/>
        <w:rPr>
          <w:rFonts w:ascii="仿宋" w:hAnsi="仿宋" w:eastAsia="仿宋" w:cs="仿宋"/>
          <w:sz w:val="32"/>
          <w:szCs w:val="32"/>
        </w:rPr>
      </w:pPr>
      <w:r>
        <w:rPr>
          <w:rFonts w:hint="eastAsia" w:ascii="仿宋" w:hAnsi="仿宋" w:eastAsia="仿宋"/>
          <w:color w:val="000000"/>
          <w:sz w:val="32"/>
          <w:szCs w:val="32"/>
        </w:rPr>
        <w:t>1、</w:t>
      </w:r>
      <w:r>
        <w:rPr>
          <w:rFonts w:ascii="仿宋" w:hAnsi="仿宋" w:eastAsia="仿宋"/>
          <w:color w:val="000000"/>
          <w:sz w:val="32"/>
          <w:szCs w:val="32"/>
        </w:rPr>
        <w:t>纳入201</w:t>
      </w:r>
      <w:r>
        <w:rPr>
          <w:rFonts w:hint="eastAsia" w:ascii="仿宋" w:hAnsi="仿宋" w:eastAsia="仿宋"/>
          <w:color w:val="000000"/>
          <w:sz w:val="32"/>
          <w:szCs w:val="32"/>
        </w:rPr>
        <w:t>9</w:t>
      </w:r>
      <w:r>
        <w:rPr>
          <w:rFonts w:ascii="仿宋" w:hAnsi="仿宋" w:eastAsia="仿宋"/>
          <w:color w:val="000000"/>
          <w:sz w:val="32"/>
          <w:szCs w:val="32"/>
        </w:rPr>
        <w:t>年度</w:t>
      </w:r>
      <w:r>
        <w:rPr>
          <w:rFonts w:hint="eastAsia" w:ascii="仿宋" w:hAnsi="仿宋" w:eastAsia="仿宋"/>
          <w:color w:val="000000"/>
          <w:sz w:val="32"/>
          <w:szCs w:val="32"/>
        </w:rPr>
        <w:t>中央专项转移支付资金绩效自评项目共计14个，其中9个项目评价为优，1个项目评价为良， 优良率为71.43%；4个</w:t>
      </w:r>
      <w:r>
        <w:rPr>
          <w:rFonts w:hint="eastAsia" w:ascii="仿宋" w:hAnsi="仿宋" w:eastAsia="仿宋" w:cs="仿宋"/>
          <w:sz w:val="32"/>
          <w:szCs w:val="32"/>
        </w:rPr>
        <w:t>服务区项目未能按照计划实施，其中：邯郸市都党服务区建设、邯郸市吕营服务区建设2019年度没有实施；邯郸市沙河服务区建设、邯郸市曲沟服务区建设2个项目2019年完成部分建筑主体结构，未能如期完成。</w:t>
      </w:r>
    </w:p>
    <w:p>
      <w:pPr>
        <w:spacing w:line="360" w:lineRule="auto"/>
        <w:ind w:firstLine="640" w:firstLineChars="200"/>
        <w:rPr>
          <w:rFonts w:ascii="仿宋" w:hAnsi="仿宋" w:eastAsia="仿宋"/>
          <w:color w:val="000000"/>
          <w:sz w:val="32"/>
          <w:szCs w:val="32"/>
        </w:rPr>
      </w:pPr>
      <w:r>
        <w:rPr>
          <w:rFonts w:hint="eastAsia" w:ascii="仿宋" w:hAnsi="仿宋" w:eastAsia="仿宋"/>
          <w:color w:val="000000"/>
          <w:sz w:val="32"/>
          <w:szCs w:val="32"/>
        </w:rPr>
        <w:t>2、</w:t>
      </w:r>
      <w:r>
        <w:rPr>
          <w:rFonts w:ascii="仿宋" w:hAnsi="仿宋" w:eastAsia="仿宋"/>
          <w:color w:val="000000"/>
          <w:sz w:val="32"/>
          <w:szCs w:val="32"/>
        </w:rPr>
        <w:t>纳入201</w:t>
      </w:r>
      <w:r>
        <w:rPr>
          <w:rFonts w:hint="eastAsia" w:ascii="仿宋" w:hAnsi="仿宋" w:eastAsia="仿宋"/>
          <w:color w:val="000000"/>
          <w:sz w:val="32"/>
          <w:szCs w:val="32"/>
        </w:rPr>
        <w:t>9</w:t>
      </w:r>
      <w:r>
        <w:rPr>
          <w:rFonts w:ascii="仿宋" w:hAnsi="仿宋" w:eastAsia="仿宋"/>
          <w:color w:val="000000"/>
          <w:sz w:val="32"/>
          <w:szCs w:val="32"/>
        </w:rPr>
        <w:t>年度</w:t>
      </w:r>
      <w:r>
        <w:rPr>
          <w:rFonts w:hint="eastAsia" w:ascii="仿宋" w:hAnsi="仿宋" w:eastAsia="仿宋"/>
          <w:color w:val="000000"/>
          <w:sz w:val="32"/>
          <w:szCs w:val="32"/>
        </w:rPr>
        <w:t>省级</w:t>
      </w:r>
      <w:r>
        <w:rPr>
          <w:rFonts w:ascii="仿宋" w:hAnsi="仿宋" w:eastAsia="仿宋"/>
          <w:color w:val="000000"/>
          <w:sz w:val="32"/>
          <w:szCs w:val="32"/>
        </w:rPr>
        <w:t>财政专项资金绩效自评项目共计</w:t>
      </w:r>
      <w:r>
        <w:rPr>
          <w:rFonts w:hint="eastAsia" w:ascii="仿宋" w:hAnsi="仿宋" w:eastAsia="仿宋"/>
          <w:color w:val="000000"/>
          <w:sz w:val="32"/>
          <w:szCs w:val="32"/>
        </w:rPr>
        <w:t>63</w:t>
      </w:r>
      <w:r>
        <w:rPr>
          <w:rFonts w:ascii="仿宋" w:hAnsi="仿宋" w:eastAsia="仿宋"/>
          <w:color w:val="000000"/>
          <w:sz w:val="32"/>
          <w:szCs w:val="32"/>
        </w:rPr>
        <w:t>个，其中</w:t>
      </w:r>
      <w:r>
        <w:rPr>
          <w:rFonts w:hint="eastAsia" w:ascii="仿宋" w:hAnsi="仿宋" w:eastAsia="仿宋"/>
          <w:color w:val="000000"/>
          <w:sz w:val="32"/>
          <w:szCs w:val="32"/>
        </w:rPr>
        <w:t>54个项目评价为优，8个项目评价为良，优良率为98.41%；1个项目邯郸市G230国道通化至武汉公路（原定魏线）邯郸段改建工程存在征地拆迁问题，未开工，正在招标中</w:t>
      </w:r>
      <w:r>
        <w:rPr>
          <w:rFonts w:ascii="仿宋" w:hAnsi="仿宋" w:eastAsia="仿宋"/>
          <w:color w:val="000000"/>
          <w:sz w:val="32"/>
          <w:szCs w:val="32"/>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 w:hAnsi="仿宋" w:eastAsia="仿宋" w:cs="宋体"/>
          <w:sz w:val="32"/>
          <w:szCs w:val="32"/>
        </w:rPr>
      </w:pPr>
      <w:r>
        <w:rPr>
          <w:rFonts w:hint="eastAsia" w:ascii="仿宋" w:hAnsi="仿宋" w:eastAsia="仿宋" w:cs="DengXian-Regular"/>
          <w:sz w:val="32"/>
          <w:szCs w:val="32"/>
        </w:rPr>
        <w:t>本部门2019年度机关运行经费支出</w:t>
      </w:r>
      <w:r>
        <w:rPr>
          <w:rFonts w:hint="eastAsia" w:ascii="仿宋" w:hAnsi="仿宋" w:eastAsia="仿宋" w:cs="宋体"/>
          <w:sz w:val="32"/>
          <w:szCs w:val="32"/>
        </w:rPr>
        <w:t>912.19</w:t>
      </w:r>
      <w:r>
        <w:rPr>
          <w:rFonts w:hint="eastAsia" w:ascii="仿宋" w:hAnsi="仿宋" w:eastAsia="仿宋" w:cs="DengXian-Regular"/>
          <w:sz w:val="32"/>
          <w:szCs w:val="32"/>
        </w:rPr>
        <w:t>万元，比2018年度减少48.21万元，降低5.02%。主要原因是</w:t>
      </w:r>
      <w:r>
        <w:rPr>
          <w:rFonts w:hint="eastAsia" w:ascii="仿宋" w:hAnsi="仿宋" w:eastAsia="仿宋" w:cs="宋体"/>
          <w:sz w:val="32"/>
          <w:szCs w:val="32"/>
        </w:rPr>
        <w:t>我部门认真贯彻落实中央八项规定精神和厉行节约要求，从严控制“三公经费”、会议费及日常一般性经费支出。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本部门2019年度政府采购支出总额27.78万元，从采购类型来看，</w:t>
      </w:r>
      <w:r>
        <w:rPr>
          <w:rFonts w:ascii="仿宋" w:hAnsi="仿宋" w:eastAsia="仿宋" w:cs="仿宋_GB2312"/>
          <w:color w:val="000000"/>
          <w:kern w:val="0"/>
          <w:sz w:val="32"/>
          <w:szCs w:val="32"/>
        </w:rPr>
        <w:t>政府采购货物支出</w:t>
      </w:r>
      <w:r>
        <w:rPr>
          <w:rFonts w:hint="eastAsia" w:ascii="仿宋" w:hAnsi="仿宋" w:eastAsia="仿宋" w:cs="仿宋_GB2312"/>
          <w:color w:val="000000"/>
          <w:kern w:val="0"/>
          <w:sz w:val="32"/>
          <w:szCs w:val="32"/>
        </w:rPr>
        <w:t>27.78</w:t>
      </w:r>
      <w:r>
        <w:rPr>
          <w:rFonts w:ascii="仿宋" w:hAnsi="仿宋" w:eastAsia="仿宋" w:cs="仿宋_GB2312"/>
          <w:color w:val="000000"/>
          <w:kern w:val="0"/>
          <w:sz w:val="32"/>
          <w:szCs w:val="32"/>
        </w:rPr>
        <w:t>万元</w:t>
      </w:r>
      <w:r>
        <w:rPr>
          <w:rFonts w:hint="eastAsia" w:ascii="仿宋" w:hAnsi="仿宋" w:eastAsia="仿宋"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2019年12月31日，本部门共有车辆249辆，比上年减少3辆，主要汽车报废减少。其中，主要领导干部用车6辆，应急保障用车3辆，执法执勤用车51辆，离退休干部用车1辆，其他用车47辆，其他用车主要是工程用车。</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万元以上通用设备12台（套），比上年增加9套，主要是通用设备以前年度归类不准确本年调整；单位价值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万元以上专用设备5台（套），和上年一样。</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1、本部门2019年度无国有资本经营收支及结转结余情况，故国有资本经营预算财政拨款支出决算表以空表列示。</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2、由于决算公开表格中金额数值应当保留两位小数，公开数据为四舍五入计算结</w:t>
      </w:r>
      <w:r>
        <w:rPr>
          <w:rFonts w:ascii="仿宋" w:hAnsi="仿宋" w:eastAsia="仿宋"/>
          <w:sz w:val="44"/>
        </w:rPr>
        <w:pict>
          <v:group id="_x0000_s1037" o:spid="_x0000_s1037" o:spt="203" style="position:absolute;left:0pt;margin-left:-0.55pt;margin-top:29.3pt;height:43.95pt;width:301.85pt;mso-position-horizontal-relative:page;mso-position-vertical-relative:page;z-index:251678720;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top:526;height:11;width:85;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top:528;height:12;width:8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相关名词解释</w:t>
                  </w:r>
                </w:p>
              </w:txbxContent>
            </v:textbox>
          </v:shape>
        </w:pic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30" w:firstLineChars="196"/>
        <w:jc w:val="left"/>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240" w:lineRule="auto"/>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br w:type="page"/>
      </w:r>
    </w:p>
    <w:p>
      <w:pPr>
        <w:widowControl/>
        <w:spacing w:after="0" w:line="240" w:lineRule="auto"/>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_x0000_s1141" o:spid="_x0000_s1141" o:spt="202" type="#_x0000_t202" style="position:absolute;left:0pt;margin-left:-76.4pt;margin-top:-440.15pt;height:159.1pt;width:596.2pt;z-index:25168998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2019年度部门决算报表</w:t>
                  </w:r>
                </w:p>
              </w:txbxContent>
            </v:textbox>
          </v:shape>
        </w:pict>
      </w:r>
      <w:r>
        <w:rPr>
          <w:rFonts w:hint="eastAsia" w:ascii="仿宋_GB2312" w:hAnsi="Cambria" w:eastAsia="仿宋_GB2312" w:cs="ArialUnicodeMS"/>
          <w:kern w:val="0"/>
          <w:sz w:val="32"/>
          <w:szCs w:val="32"/>
        </w:rPr>
        <w:drawing>
          <wp:anchor distT="0" distB="0" distL="114300" distR="114300" simplePos="0" relativeHeight="251659264" behindDoc="0" locked="0" layoutInCell="1" allowOverlap="1">
            <wp:simplePos x="0" y="0"/>
            <wp:positionH relativeFrom="column">
              <wp:posOffset>-1008380</wp:posOffset>
            </wp:positionH>
            <wp:positionV relativeFrom="paragraph">
              <wp:posOffset>-1332230</wp:posOffset>
            </wp:positionV>
            <wp:extent cx="7581900" cy="10687050"/>
            <wp:effectExtent l="19050" t="0" r="0" b="0"/>
            <wp:wrapSquare wrapText="bothSides"/>
            <wp:docPr id="2"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2"/>
                    <pic:cNvPicPr>
                      <a:picLocks noChangeAspect="1"/>
                    </pic:cNvPicPr>
                  </pic:nvPicPr>
                  <pic:blipFill>
                    <a:blip r:embed="rId7"/>
                    <a:stretch>
                      <a:fillRect/>
                    </a:stretch>
                  </pic:blipFill>
                  <pic:spPr>
                    <a:xfrm>
                      <a:off x="0" y="0"/>
                      <a:ext cx="7581900" cy="10687050"/>
                    </a:xfrm>
                    <a:prstGeom prst="rect">
                      <a:avLst/>
                    </a:prstGeom>
                  </pic:spPr>
                </pic:pic>
              </a:graphicData>
            </a:graphic>
          </wp:anchor>
        </w:drawing>
      </w:r>
    </w:p>
    <w:p>
      <w:pPr>
        <w:spacing w:line="800" w:lineRule="exact"/>
        <w:ind w:firstLine="2880" w:firstLineChars="600"/>
        <w:rPr>
          <w:rFonts w:ascii="仿宋_GB2312" w:eastAsia="仿宋_GB2312"/>
          <w:sz w:val="48"/>
          <w:szCs w:val="48"/>
        </w:rPr>
      </w:pPr>
      <w:r>
        <w:rPr>
          <w:rFonts w:hint="eastAsia" w:ascii="仿宋_GB2312" w:eastAsia="仿宋_GB2312"/>
          <w:sz w:val="48"/>
          <w:szCs w:val="48"/>
        </w:rPr>
        <w:t>（</w:t>
      </w:r>
      <w:r>
        <w:rPr>
          <w:rFonts w:hint="eastAsia" w:ascii="仿宋_GB2312" w:hAnsi="宋体" w:eastAsia="仿宋_GB2312" w:cs="宋体"/>
          <w:sz w:val="48"/>
          <w:szCs w:val="48"/>
        </w:rPr>
        <w:t>详见附</w:t>
      </w:r>
      <w:r>
        <w:rPr>
          <w:rFonts w:hint="eastAsia" w:ascii="仿宋_GB2312" w:hAnsi="___WRD_EMBED_SUB_40" w:eastAsia="仿宋_GB2312" w:cs="___WRD_EMBED_SUB_40"/>
          <w:sz w:val="48"/>
          <w:szCs w:val="48"/>
        </w:rPr>
        <w:t>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111213"/>
          <w:sz w:val="32"/>
          <w:szCs w:val="32"/>
          <w:lang w:val="zh-CN"/>
        </w:rPr>
      </w:pPr>
      <w:r>
        <w:rPr>
          <w:rFonts w:hint="eastAsia" w:ascii="仿宋" w:hAnsi="仿宋" w:eastAsia="仿宋" w:cs="宋体"/>
          <w:color w:val="000001"/>
          <w:sz w:val="32"/>
          <w:szCs w:val="32"/>
          <w:lang w:val="zh-CN"/>
        </w:rPr>
        <w:t>一、</w:t>
      </w:r>
      <w:r>
        <w:rPr>
          <w:rFonts w:hint="eastAsia" w:ascii="仿宋" w:hAnsi="仿宋" w:eastAsia="仿宋" w:cs="宋体"/>
          <w:color w:val="111213"/>
          <w:sz w:val="32"/>
          <w:szCs w:val="32"/>
          <w:lang w:val="zh-CN"/>
        </w:rPr>
        <w:t>收</w:t>
      </w:r>
      <w:r>
        <w:rPr>
          <w:rFonts w:hint="eastAsia" w:ascii="仿宋" w:hAnsi="仿宋" w:eastAsia="仿宋" w:cs="宋体"/>
          <w:color w:val="262728"/>
          <w:sz w:val="32"/>
          <w:szCs w:val="32"/>
          <w:lang w:val="zh-CN"/>
        </w:rPr>
        <w:t>入</w:t>
      </w:r>
      <w:r>
        <w:rPr>
          <w:rFonts w:hint="eastAsia" w:ascii="仿宋" w:hAnsi="仿宋" w:eastAsia="仿宋" w:cs="宋体"/>
          <w:color w:val="111213"/>
          <w:sz w:val="32"/>
          <w:szCs w:val="32"/>
          <w:lang w:val="zh-CN"/>
        </w:rPr>
        <w:t>支</w:t>
      </w:r>
      <w:r>
        <w:rPr>
          <w:rFonts w:hint="eastAsia" w:ascii="仿宋" w:hAnsi="仿宋" w:eastAsia="仿宋" w:cs="宋体"/>
          <w:color w:val="262728"/>
          <w:sz w:val="32"/>
          <w:szCs w:val="32"/>
          <w:lang w:val="zh-CN"/>
        </w:rPr>
        <w:t>出决算总</w:t>
      </w:r>
      <w:r>
        <w:rPr>
          <w:rFonts w:hint="eastAsia" w:ascii="仿宋" w:hAnsi="仿宋" w:eastAsia="仿宋" w:cs="宋体"/>
          <w:color w:val="111213"/>
          <w:sz w:val="32"/>
          <w:szCs w:val="32"/>
          <w:lang w:val="zh-CN"/>
        </w:rPr>
        <w:t>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二、</w:t>
      </w:r>
      <w:r>
        <w:rPr>
          <w:rFonts w:hint="eastAsia" w:ascii="仿宋" w:hAnsi="仿宋" w:eastAsia="仿宋" w:cs="宋体"/>
          <w:color w:val="111213"/>
          <w:sz w:val="32"/>
          <w:szCs w:val="32"/>
          <w:lang w:val="zh-CN"/>
        </w:rPr>
        <w:t>收</w:t>
      </w:r>
      <w:r>
        <w:rPr>
          <w:rFonts w:hint="eastAsia" w:ascii="仿宋" w:hAnsi="仿宋" w:eastAsia="仿宋" w:cs="宋体"/>
          <w:color w:val="262728"/>
          <w:sz w:val="32"/>
          <w:szCs w:val="32"/>
          <w:lang w:val="zh-CN"/>
        </w:rPr>
        <w:t>入决算表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三、</w:t>
      </w:r>
      <w:r>
        <w:rPr>
          <w:rFonts w:hint="eastAsia" w:ascii="仿宋" w:hAnsi="仿宋" w:eastAsia="仿宋" w:cs="宋体"/>
          <w:color w:val="111213"/>
          <w:sz w:val="32"/>
          <w:szCs w:val="32"/>
          <w:lang w:val="zh-CN"/>
        </w:rPr>
        <w:t>支出</w:t>
      </w:r>
      <w:r>
        <w:rPr>
          <w:rFonts w:hint="eastAsia" w:ascii="仿宋" w:hAnsi="仿宋" w:eastAsia="仿宋" w:cs="宋体"/>
          <w:color w:val="262728"/>
          <w:sz w:val="32"/>
          <w:szCs w:val="32"/>
          <w:lang w:val="zh-CN"/>
        </w:rPr>
        <w:t>决算表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四、</w:t>
      </w:r>
      <w:r>
        <w:rPr>
          <w:rFonts w:hint="eastAsia" w:ascii="仿宋" w:hAnsi="仿宋" w:eastAsia="仿宋" w:cs="宋体"/>
          <w:color w:val="262728"/>
          <w:sz w:val="32"/>
          <w:szCs w:val="32"/>
          <w:lang w:val="zh-CN"/>
        </w:rPr>
        <w:t>财</w:t>
      </w:r>
      <w:r>
        <w:rPr>
          <w:rFonts w:hint="eastAsia" w:ascii="仿宋" w:hAnsi="仿宋" w:eastAsia="仿宋" w:cs="宋体"/>
          <w:color w:val="111213"/>
          <w:sz w:val="32"/>
          <w:szCs w:val="32"/>
          <w:lang w:val="zh-CN"/>
        </w:rPr>
        <w:t>政</w:t>
      </w:r>
      <w:r>
        <w:rPr>
          <w:rFonts w:hint="eastAsia" w:ascii="仿宋" w:hAnsi="仿宋" w:eastAsia="仿宋" w:cs="宋体"/>
          <w:color w:val="262728"/>
          <w:sz w:val="32"/>
          <w:szCs w:val="32"/>
          <w:lang w:val="zh-CN"/>
        </w:rPr>
        <w:t>拨款收</w:t>
      </w:r>
      <w:r>
        <w:rPr>
          <w:rFonts w:hint="eastAsia" w:ascii="仿宋" w:hAnsi="仿宋" w:eastAsia="仿宋" w:cs="宋体"/>
          <w:color w:val="434544"/>
          <w:sz w:val="32"/>
          <w:szCs w:val="32"/>
          <w:lang w:val="zh-CN"/>
        </w:rPr>
        <w:t>入</w:t>
      </w:r>
      <w:r>
        <w:rPr>
          <w:rFonts w:hint="eastAsia" w:ascii="仿宋" w:hAnsi="仿宋" w:eastAsia="仿宋" w:cs="宋体"/>
          <w:color w:val="262728"/>
          <w:sz w:val="32"/>
          <w:szCs w:val="32"/>
          <w:lang w:val="zh-CN"/>
        </w:rPr>
        <w:t>支</w:t>
      </w:r>
      <w:r>
        <w:rPr>
          <w:rFonts w:hint="eastAsia" w:ascii="仿宋" w:hAnsi="仿宋" w:eastAsia="仿宋" w:cs="宋体"/>
          <w:color w:val="111213"/>
          <w:sz w:val="32"/>
          <w:szCs w:val="32"/>
          <w:lang w:val="zh-CN"/>
        </w:rPr>
        <w:t>出</w:t>
      </w:r>
      <w:r>
        <w:rPr>
          <w:rFonts w:hint="eastAsia" w:ascii="仿宋" w:hAnsi="仿宋" w:eastAsia="仿宋" w:cs="宋体"/>
          <w:color w:val="262728"/>
          <w:sz w:val="32"/>
          <w:szCs w:val="32"/>
          <w:lang w:val="zh-CN"/>
        </w:rPr>
        <w:t>决算总表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000001"/>
          <w:sz w:val="32"/>
          <w:szCs w:val="32"/>
          <w:lang w:val="zh-CN"/>
        </w:rPr>
        <w:t>五、一</w:t>
      </w:r>
      <w:r>
        <w:rPr>
          <w:rFonts w:hint="eastAsia" w:ascii="仿宋" w:hAnsi="仿宋" w:eastAsia="仿宋" w:cs="宋体"/>
          <w:color w:val="262728"/>
          <w:sz w:val="32"/>
          <w:szCs w:val="32"/>
          <w:lang w:val="zh-CN"/>
        </w:rPr>
        <w:t>般公共预算财政拨款支出</w:t>
      </w:r>
      <w:r>
        <w:rPr>
          <w:rFonts w:hint="eastAsia" w:ascii="仿宋" w:hAnsi="仿宋" w:eastAsia="仿宋" w:cs="宋体"/>
          <w:color w:val="434544"/>
          <w:sz w:val="32"/>
          <w:szCs w:val="32"/>
          <w:lang w:val="zh-CN"/>
        </w:rPr>
        <w:t>决</w:t>
      </w:r>
      <w:r>
        <w:rPr>
          <w:rFonts w:hint="eastAsia" w:ascii="仿宋" w:hAnsi="仿宋" w:eastAsia="仿宋" w:cs="宋体"/>
          <w:color w:val="262728"/>
          <w:sz w:val="32"/>
          <w:szCs w:val="32"/>
          <w:lang w:val="zh-CN"/>
        </w:rPr>
        <w:t>算表</w:t>
      </w:r>
    </w:p>
    <w:p>
      <w:pPr>
        <w:shd w:val="clear" w:color="auto" w:fill="FFFFFE"/>
        <w:autoSpaceDE w:val="0"/>
        <w:autoSpaceDN w:val="0"/>
        <w:adjustRightInd w:val="0"/>
        <w:spacing w:after="100" w:afterAutospacing="1" w:line="520" w:lineRule="exact"/>
        <w:ind w:right="164" w:firstLine="640" w:firstLineChars="200"/>
        <w:jc w:val="left"/>
        <w:rPr>
          <w:rFonts w:ascii="仿宋" w:hAnsi="仿宋" w:eastAsia="仿宋" w:cs="宋体"/>
          <w:color w:val="262728"/>
          <w:sz w:val="32"/>
          <w:szCs w:val="32"/>
          <w:lang w:val="zh-CN"/>
        </w:rPr>
      </w:pPr>
      <w:r>
        <w:rPr>
          <w:rFonts w:hint="eastAsia" w:ascii="仿宋" w:hAnsi="仿宋" w:eastAsia="仿宋" w:cs="宋体"/>
          <w:color w:val="262728"/>
          <w:sz w:val="32"/>
          <w:szCs w:val="32"/>
          <w:lang w:val="zh-CN"/>
        </w:rPr>
        <w:t>六</w:t>
      </w:r>
      <w:r>
        <w:rPr>
          <w:rFonts w:hint="eastAsia" w:ascii="仿宋" w:hAnsi="仿宋" w:eastAsia="仿宋" w:cs="宋体"/>
          <w:color w:val="000001"/>
          <w:sz w:val="32"/>
          <w:szCs w:val="32"/>
          <w:lang w:val="zh-CN"/>
        </w:rPr>
        <w:t>、一</w:t>
      </w:r>
      <w:r>
        <w:rPr>
          <w:rFonts w:hint="eastAsia" w:ascii="仿宋" w:hAnsi="仿宋" w:eastAsia="仿宋" w:cs="宋体"/>
          <w:color w:val="262728"/>
          <w:sz w:val="32"/>
          <w:szCs w:val="32"/>
          <w:lang w:val="zh-CN"/>
        </w:rPr>
        <w:t>般</w:t>
      </w:r>
      <w:r>
        <w:rPr>
          <w:rFonts w:hint="eastAsia" w:ascii="仿宋" w:hAnsi="仿宋" w:eastAsia="仿宋" w:cs="宋体"/>
          <w:color w:val="434544"/>
          <w:sz w:val="32"/>
          <w:szCs w:val="32"/>
          <w:lang w:val="zh-CN"/>
        </w:rPr>
        <w:t>公</w:t>
      </w:r>
      <w:r>
        <w:rPr>
          <w:rFonts w:hint="eastAsia" w:ascii="仿宋" w:hAnsi="仿宋" w:eastAsia="仿宋" w:cs="宋体"/>
          <w:color w:val="262728"/>
          <w:sz w:val="32"/>
          <w:szCs w:val="32"/>
          <w:lang w:val="zh-CN"/>
        </w:rPr>
        <w:t>共预算财政拨款基本支</w:t>
      </w:r>
      <w:r>
        <w:rPr>
          <w:rFonts w:hint="eastAsia" w:ascii="仿宋" w:hAnsi="仿宋" w:eastAsia="仿宋" w:cs="宋体"/>
          <w:color w:val="111213"/>
          <w:sz w:val="32"/>
          <w:szCs w:val="32"/>
          <w:lang w:val="zh-CN"/>
        </w:rPr>
        <w:t>出</w:t>
      </w:r>
      <w:r>
        <w:rPr>
          <w:rFonts w:hint="eastAsia" w:ascii="仿宋" w:hAnsi="仿宋" w:eastAsia="仿宋" w:cs="宋体"/>
          <w:color w:val="434544"/>
          <w:sz w:val="32"/>
          <w:szCs w:val="32"/>
          <w:lang w:val="zh-CN"/>
        </w:rPr>
        <w:t>决</w:t>
      </w:r>
      <w:r>
        <w:rPr>
          <w:rFonts w:hint="eastAsia" w:ascii="仿宋" w:hAnsi="仿宋" w:eastAsia="仿宋" w:cs="宋体"/>
          <w:color w:val="262728"/>
          <w:sz w:val="32"/>
          <w:szCs w:val="32"/>
          <w:lang w:val="zh-CN"/>
        </w:rPr>
        <w:t>算表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000001"/>
          <w:sz w:val="32"/>
          <w:szCs w:val="32"/>
          <w:lang w:val="zh-CN"/>
        </w:rPr>
      </w:pPr>
      <w:r>
        <w:rPr>
          <w:rFonts w:hint="eastAsia" w:ascii="仿宋" w:hAnsi="仿宋" w:eastAsia="仿宋" w:cs="宋体"/>
          <w:color w:val="111213"/>
          <w:sz w:val="32"/>
          <w:szCs w:val="32"/>
          <w:lang w:val="zh-CN"/>
        </w:rPr>
        <w:t>七</w:t>
      </w:r>
      <w:r>
        <w:rPr>
          <w:rFonts w:hint="eastAsia" w:ascii="仿宋" w:hAnsi="仿宋" w:eastAsia="仿宋" w:cs="宋体"/>
          <w:color w:val="000001"/>
          <w:sz w:val="32"/>
          <w:szCs w:val="32"/>
          <w:lang w:val="zh-CN"/>
        </w:rPr>
        <w:t>、一</w:t>
      </w:r>
      <w:r>
        <w:rPr>
          <w:rFonts w:hint="eastAsia" w:ascii="仿宋" w:hAnsi="仿宋" w:eastAsia="仿宋" w:cs="宋体"/>
          <w:color w:val="262728"/>
          <w:sz w:val="32"/>
          <w:szCs w:val="32"/>
          <w:lang w:val="zh-CN"/>
        </w:rPr>
        <w:t>般</w:t>
      </w:r>
      <w:r>
        <w:rPr>
          <w:rFonts w:hint="eastAsia" w:ascii="仿宋" w:hAnsi="仿宋" w:eastAsia="仿宋" w:cs="宋体"/>
          <w:color w:val="434544"/>
          <w:sz w:val="32"/>
          <w:szCs w:val="32"/>
          <w:lang w:val="zh-CN"/>
        </w:rPr>
        <w:t>公</w:t>
      </w:r>
      <w:r>
        <w:rPr>
          <w:rFonts w:hint="eastAsia" w:ascii="仿宋" w:hAnsi="仿宋" w:eastAsia="仿宋" w:cs="宋体"/>
          <w:color w:val="262728"/>
          <w:sz w:val="32"/>
          <w:szCs w:val="32"/>
          <w:lang w:val="zh-CN"/>
        </w:rPr>
        <w:t>共预算财政拨款“三公”经费支出决算表</w:t>
      </w:r>
    </w:p>
    <w:p>
      <w:pPr>
        <w:shd w:val="clear" w:color="auto" w:fill="FFFFFE"/>
        <w:autoSpaceDE w:val="0"/>
        <w:autoSpaceDN w:val="0"/>
        <w:adjustRightInd w:val="0"/>
        <w:spacing w:after="100" w:afterAutospacing="1" w:line="520" w:lineRule="exact"/>
        <w:ind w:left="638" w:leftChars="304" w:right="164"/>
        <w:jc w:val="left"/>
        <w:rPr>
          <w:rFonts w:ascii="仿宋" w:hAnsi="仿宋" w:eastAsia="仿宋" w:cs="宋体"/>
          <w:color w:val="262728"/>
          <w:sz w:val="32"/>
          <w:szCs w:val="32"/>
          <w:lang w:val="zh-CN"/>
        </w:rPr>
      </w:pPr>
      <w:r>
        <w:rPr>
          <w:rFonts w:hint="eastAsia" w:ascii="仿宋" w:hAnsi="仿宋" w:eastAsia="仿宋" w:cs="宋体"/>
          <w:color w:val="111213"/>
          <w:sz w:val="32"/>
          <w:szCs w:val="32"/>
          <w:lang w:val="zh-CN"/>
        </w:rPr>
        <w:t>八、政府</w:t>
      </w:r>
      <w:r>
        <w:rPr>
          <w:rFonts w:hint="eastAsia" w:ascii="仿宋" w:hAnsi="仿宋" w:eastAsia="仿宋" w:cs="宋体"/>
          <w:color w:val="262728"/>
          <w:sz w:val="32"/>
          <w:szCs w:val="32"/>
          <w:lang w:val="zh-CN"/>
        </w:rPr>
        <w:t>性基金预算财政拨款收入</w:t>
      </w:r>
      <w:r>
        <w:rPr>
          <w:rFonts w:hint="eastAsia" w:ascii="仿宋" w:hAnsi="仿宋" w:eastAsia="仿宋" w:cs="宋体"/>
          <w:color w:val="111213"/>
          <w:sz w:val="32"/>
          <w:szCs w:val="32"/>
          <w:lang w:val="zh-CN"/>
        </w:rPr>
        <w:t>支</w:t>
      </w:r>
      <w:r>
        <w:rPr>
          <w:rFonts w:hint="eastAsia" w:ascii="仿宋" w:hAnsi="仿宋" w:eastAsia="仿宋" w:cs="宋体"/>
          <w:color w:val="262728"/>
          <w:sz w:val="32"/>
          <w:szCs w:val="32"/>
          <w:lang w:val="zh-CN"/>
        </w:rPr>
        <w:t>出决算表</w:t>
      </w:r>
    </w:p>
    <w:p>
      <w:pPr>
        <w:shd w:val="clear" w:color="auto" w:fill="FFFFFE"/>
        <w:autoSpaceDE w:val="0"/>
        <w:autoSpaceDN w:val="0"/>
        <w:adjustRightInd w:val="0"/>
        <w:spacing w:after="100" w:afterAutospacing="1" w:line="520" w:lineRule="exact"/>
        <w:ind w:left="638" w:leftChars="304" w:right="164"/>
        <w:jc w:val="left"/>
      </w:pPr>
      <w:r>
        <w:rPr>
          <w:rFonts w:hint="eastAsia" w:ascii="仿宋" w:hAnsi="仿宋" w:eastAsia="仿宋" w:cs="宋体"/>
          <w:color w:val="262728"/>
          <w:sz w:val="32"/>
          <w:szCs w:val="32"/>
          <w:lang w:val="zh-CN"/>
        </w:rPr>
        <w:t>九</w:t>
      </w:r>
      <w:r>
        <w:rPr>
          <w:rFonts w:hint="eastAsia" w:ascii="仿宋" w:hAnsi="仿宋" w:eastAsia="仿宋" w:cs="宋体"/>
          <w:color w:val="000001"/>
          <w:sz w:val="32"/>
          <w:szCs w:val="32"/>
          <w:lang w:val="zh-CN"/>
        </w:rPr>
        <w:t>、国</w:t>
      </w:r>
      <w:r>
        <w:rPr>
          <w:rFonts w:hint="eastAsia" w:ascii="仿宋" w:hAnsi="仿宋" w:eastAsia="仿宋" w:cs="宋体"/>
          <w:color w:val="111213"/>
          <w:sz w:val="32"/>
          <w:szCs w:val="32"/>
          <w:lang w:val="zh-CN"/>
        </w:rPr>
        <w:t>有</w:t>
      </w:r>
      <w:r>
        <w:rPr>
          <w:rFonts w:hint="eastAsia" w:ascii="仿宋" w:hAnsi="仿宋" w:eastAsia="仿宋" w:cs="宋体"/>
          <w:color w:val="262728"/>
          <w:sz w:val="32"/>
          <w:szCs w:val="32"/>
          <w:lang w:val="zh-CN"/>
        </w:rPr>
        <w:t>资本</w:t>
      </w:r>
      <w:r>
        <w:rPr>
          <w:rFonts w:hint="eastAsia" w:ascii="仿宋" w:hAnsi="仿宋" w:eastAsia="仿宋" w:cs="宋体"/>
          <w:color w:val="111213"/>
          <w:sz w:val="32"/>
          <w:szCs w:val="32"/>
          <w:lang w:val="zh-CN"/>
        </w:rPr>
        <w:t>经</w:t>
      </w:r>
      <w:r>
        <w:rPr>
          <w:rFonts w:hint="eastAsia" w:ascii="仿宋" w:hAnsi="仿宋" w:eastAsia="仿宋" w:cs="宋体"/>
          <w:color w:val="262728"/>
          <w:sz w:val="32"/>
          <w:szCs w:val="32"/>
          <w:lang w:val="zh-CN"/>
        </w:rPr>
        <w:t>营预算财政拨</w:t>
      </w:r>
      <w:r>
        <w:rPr>
          <w:rFonts w:hint="eastAsia" w:ascii="仿宋" w:hAnsi="仿宋" w:eastAsia="仿宋" w:cs="宋体"/>
          <w:color w:val="111213"/>
          <w:sz w:val="32"/>
          <w:szCs w:val="32"/>
          <w:lang w:val="zh-CN"/>
        </w:rPr>
        <w:t>款</w:t>
      </w:r>
      <w:r>
        <w:rPr>
          <w:rFonts w:hint="eastAsia" w:ascii="仿宋" w:hAnsi="仿宋" w:eastAsia="仿宋" w:cs="宋体"/>
          <w:color w:val="262728"/>
          <w:sz w:val="32"/>
          <w:szCs w:val="32"/>
          <w:lang w:val="zh-CN"/>
        </w:rPr>
        <w:t>支出决算表</w:t>
      </w:r>
    </w:p>
    <w:sectPr>
      <w:pgSz w:w="11906" w:h="16838"/>
      <w:pgMar w:top="1560" w:right="1474" w:bottom="113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方正公文黑体"/>
    <w:panose1 w:val="02010609060101010101"/>
    <w:charset w:val="86"/>
    <w:family w:val="auto"/>
    <w:pitch w:val="default"/>
    <w:sig w:usb0="800002BF" w:usb1="38CF7CFA" w:usb2="00000016" w:usb3="00000000" w:csb0="00040001" w:csb1="00000000"/>
    <w:embedRegular r:id="rId1" w:fontKey="{5694E90D-19AF-40C2-873B-82171FAA5D0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3017984A-981C-4BB5-BCB6-2553041D3142}"/>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embedRegular r:id="rId3" w:fontKey="{604F6C1C-23F2-4814-8A2A-6A41DE1588E8}"/>
  </w:font>
  <w:font w:name="楷体">
    <w:panose1 w:val="02010609060101010101"/>
    <w:charset w:val="86"/>
    <w:family w:val="modern"/>
    <w:pitch w:val="default"/>
    <w:sig w:usb0="800002BF" w:usb1="38CF7CFA" w:usb2="00000016" w:usb3="00000000" w:csb0="00040001" w:csb1="00000000"/>
    <w:embedRegular r:id="rId4" w:fontKey="{DD6A7668-5BE2-42E5-9D6C-B7413F0825D9}"/>
  </w:font>
  <w:font w:name="ArialUnicodeMS">
    <w:altName w:val="Malgun Gothic"/>
    <w:panose1 w:val="00000000000000000000"/>
    <w:charset w:val="81"/>
    <w:family w:val="auto"/>
    <w:pitch w:val="default"/>
    <w:sig w:usb0="00000000" w:usb1="00000000" w:usb2="00000010" w:usb3="00000000" w:csb0="00080001" w:csb1="00000000"/>
    <w:embedRegular r:id="rId5" w:fontKey="{EC5BD650-87A2-4DE6-A50D-E63A4C8668B6}"/>
  </w:font>
  <w:font w:name="仿宋">
    <w:panose1 w:val="02010609060101010101"/>
    <w:charset w:val="86"/>
    <w:family w:val="modern"/>
    <w:pitch w:val="default"/>
    <w:sig w:usb0="800002BF" w:usb1="38CF7CFA" w:usb2="00000016" w:usb3="00000000" w:csb0="00040001" w:csb1="00000000"/>
    <w:embedRegular r:id="rId6" w:fontKey="{56A95A12-DFF2-4EA7-86AF-6945A287F933}"/>
  </w:font>
  <w:font w:name="MS-UIGothic,Bold">
    <w:altName w:val="Malgun Gothic"/>
    <w:panose1 w:val="00000000000000000000"/>
    <w:charset w:val="81"/>
    <w:family w:val="auto"/>
    <w:pitch w:val="default"/>
    <w:sig w:usb0="00000000" w:usb1="00000000" w:usb2="00000010" w:usb3="00000000" w:csb0="00080000" w:csb1="00000000"/>
    <w:embedRegular r:id="rId7" w:fontKey="{E6EA0E90-F307-47F7-B74F-867726E9E4BF}"/>
  </w:font>
  <w:font w:name="DengXian-Regular">
    <w:altName w:val="宋体"/>
    <w:panose1 w:val="00000000000000000000"/>
    <w:charset w:val="86"/>
    <w:family w:val="auto"/>
    <w:pitch w:val="default"/>
    <w:sig w:usb0="00000000" w:usb1="00000000" w:usb2="00000010" w:usb3="00000000" w:csb0="00040001" w:csb1="00000000"/>
    <w:embedRegular r:id="rId8" w:fontKey="{756A6F37-D086-46AE-AE98-0277200ABDC3}"/>
  </w:font>
  <w:font w:name="楷体_GB2312">
    <w:panose1 w:val="02010609030101010101"/>
    <w:charset w:val="86"/>
    <w:family w:val="modern"/>
    <w:pitch w:val="default"/>
    <w:sig w:usb0="00000001" w:usb1="080E0000" w:usb2="00000000" w:usb3="00000000" w:csb0="00040000" w:csb1="00000000"/>
    <w:embedRegular r:id="rId9" w:fontKey="{786122BF-BF0C-4EFE-98C5-05D2DC8AF40D}"/>
  </w:font>
  <w:font w:name="DengXian-Bold">
    <w:altName w:val="宋体"/>
    <w:panose1 w:val="00000000000000000000"/>
    <w:charset w:val="86"/>
    <w:family w:val="auto"/>
    <w:pitch w:val="default"/>
    <w:sig w:usb0="00000000" w:usb1="00000000" w:usb2="00000010" w:usb3="00000000" w:csb0="00040001" w:csb1="00000000"/>
    <w:embedRegular r:id="rId10" w:fontKey="{6FD83119-28A7-4A53-B315-D14B11FA4262}"/>
  </w:font>
  <w:font w:name="TimesNewRomanPSMT">
    <w:altName w:val="Arial"/>
    <w:panose1 w:val="00000000000000000000"/>
    <w:charset w:val="00"/>
    <w:family w:val="swiss"/>
    <w:pitch w:val="default"/>
    <w:sig w:usb0="00000000" w:usb1="00000000" w:usb2="00000000" w:usb3="00000000" w:csb0="00000001" w:csb1="00000000"/>
  </w:font>
  <w:font w:name="___WRD_EMBED_SUB_40">
    <w:altName w:val="宋体"/>
    <w:panose1 w:val="00000000000000000000"/>
    <w:charset w:val="86"/>
    <w:family w:val="modern"/>
    <w:pitch w:val="default"/>
    <w:sig w:usb0="00000000" w:usb1="00000000" w:usb2="00000010" w:usb3="00000000" w:csb0="00040000" w:csb1="00000000"/>
    <w:embedRegular r:id="rId11" w:fontKey="{FDB1C487-50CB-4282-A491-F4558E9C8732}"/>
  </w:font>
  <w:font w:name="方正公文黑体">
    <w:panose1 w:val="02000500000000000000"/>
    <w:charset w:val="86"/>
    <w:family w:val="auto"/>
    <w:pitch w:val="default"/>
    <w:sig w:usb0="A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S Mincho">
    <w:panose1 w:val="020206090402050803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8F106CF"/>
    <w:multiLevelType w:val="multilevel"/>
    <w:tmpl w:val="48F106CF"/>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g5Yzk4ZjZhOTYyNjlkMWJmNTNkODY3Y2UwNGU2YjYifQ=="/>
  </w:docVars>
  <w:rsids>
    <w:rsidRoot w:val="003C1413"/>
    <w:rsid w:val="000014D5"/>
    <w:rsid w:val="00023CEB"/>
    <w:rsid w:val="00024E7F"/>
    <w:rsid w:val="00027E4C"/>
    <w:rsid w:val="00030A0B"/>
    <w:rsid w:val="00035373"/>
    <w:rsid w:val="00036C42"/>
    <w:rsid w:val="000475A0"/>
    <w:rsid w:val="00054C3D"/>
    <w:rsid w:val="0005731F"/>
    <w:rsid w:val="00057E67"/>
    <w:rsid w:val="00066C0F"/>
    <w:rsid w:val="000838C3"/>
    <w:rsid w:val="000A18EC"/>
    <w:rsid w:val="000B2446"/>
    <w:rsid w:val="000D7C65"/>
    <w:rsid w:val="000E2F81"/>
    <w:rsid w:val="000F6237"/>
    <w:rsid w:val="001148C1"/>
    <w:rsid w:val="00117946"/>
    <w:rsid w:val="00117E2C"/>
    <w:rsid w:val="00133B35"/>
    <w:rsid w:val="00146C47"/>
    <w:rsid w:val="00150BE2"/>
    <w:rsid w:val="00152FB8"/>
    <w:rsid w:val="00164E74"/>
    <w:rsid w:val="00170A56"/>
    <w:rsid w:val="00176658"/>
    <w:rsid w:val="0018239E"/>
    <w:rsid w:val="001B3410"/>
    <w:rsid w:val="001C030D"/>
    <w:rsid w:val="001C4A84"/>
    <w:rsid w:val="001D4FC4"/>
    <w:rsid w:val="001E5902"/>
    <w:rsid w:val="00233705"/>
    <w:rsid w:val="00243A98"/>
    <w:rsid w:val="002460D5"/>
    <w:rsid w:val="00264C58"/>
    <w:rsid w:val="0026694D"/>
    <w:rsid w:val="00275CA2"/>
    <w:rsid w:val="002901CD"/>
    <w:rsid w:val="00296752"/>
    <w:rsid w:val="00297072"/>
    <w:rsid w:val="002A65A5"/>
    <w:rsid w:val="002B0472"/>
    <w:rsid w:val="002B5342"/>
    <w:rsid w:val="002B7B77"/>
    <w:rsid w:val="002C04C4"/>
    <w:rsid w:val="002C303D"/>
    <w:rsid w:val="002C3276"/>
    <w:rsid w:val="002C5F0A"/>
    <w:rsid w:val="002D08B0"/>
    <w:rsid w:val="002D1AE3"/>
    <w:rsid w:val="002D265B"/>
    <w:rsid w:val="002F2ECE"/>
    <w:rsid w:val="002F2EFB"/>
    <w:rsid w:val="00305179"/>
    <w:rsid w:val="003167F0"/>
    <w:rsid w:val="003217A4"/>
    <w:rsid w:val="00322F59"/>
    <w:rsid w:val="00327E5D"/>
    <w:rsid w:val="00337EA1"/>
    <w:rsid w:val="00341C8F"/>
    <w:rsid w:val="0035463A"/>
    <w:rsid w:val="00385E53"/>
    <w:rsid w:val="00391D9D"/>
    <w:rsid w:val="003B0C58"/>
    <w:rsid w:val="003B6C51"/>
    <w:rsid w:val="003C0205"/>
    <w:rsid w:val="003C1413"/>
    <w:rsid w:val="003C549F"/>
    <w:rsid w:val="003D15A9"/>
    <w:rsid w:val="003D5A16"/>
    <w:rsid w:val="003E18FE"/>
    <w:rsid w:val="003E7DB3"/>
    <w:rsid w:val="003F1BBB"/>
    <w:rsid w:val="003F38CD"/>
    <w:rsid w:val="00431175"/>
    <w:rsid w:val="004324AE"/>
    <w:rsid w:val="00452E9C"/>
    <w:rsid w:val="00497B4F"/>
    <w:rsid w:val="004B0388"/>
    <w:rsid w:val="004B245A"/>
    <w:rsid w:val="004B6E37"/>
    <w:rsid w:val="004C32BA"/>
    <w:rsid w:val="004D1989"/>
    <w:rsid w:val="004D7328"/>
    <w:rsid w:val="00505570"/>
    <w:rsid w:val="00510D8B"/>
    <w:rsid w:val="0053345C"/>
    <w:rsid w:val="00536F0B"/>
    <w:rsid w:val="00575922"/>
    <w:rsid w:val="00580C23"/>
    <w:rsid w:val="00581508"/>
    <w:rsid w:val="00595481"/>
    <w:rsid w:val="005A6C90"/>
    <w:rsid w:val="005B28B9"/>
    <w:rsid w:val="005D5FCA"/>
    <w:rsid w:val="005E3FB0"/>
    <w:rsid w:val="005F4B66"/>
    <w:rsid w:val="005F5208"/>
    <w:rsid w:val="00601EB1"/>
    <w:rsid w:val="0060399A"/>
    <w:rsid w:val="006317C5"/>
    <w:rsid w:val="00633CCE"/>
    <w:rsid w:val="00641318"/>
    <w:rsid w:val="00642237"/>
    <w:rsid w:val="0064405D"/>
    <w:rsid w:val="00671DAC"/>
    <w:rsid w:val="00674B65"/>
    <w:rsid w:val="00683268"/>
    <w:rsid w:val="00685CA9"/>
    <w:rsid w:val="00690382"/>
    <w:rsid w:val="00695557"/>
    <w:rsid w:val="006A2BB4"/>
    <w:rsid w:val="006C547B"/>
    <w:rsid w:val="006D4EA7"/>
    <w:rsid w:val="006D6A38"/>
    <w:rsid w:val="0070012A"/>
    <w:rsid w:val="00701625"/>
    <w:rsid w:val="00705D60"/>
    <w:rsid w:val="007064AC"/>
    <w:rsid w:val="0070664B"/>
    <w:rsid w:val="00706C2B"/>
    <w:rsid w:val="007071B8"/>
    <w:rsid w:val="007209B4"/>
    <w:rsid w:val="007414DE"/>
    <w:rsid w:val="00741941"/>
    <w:rsid w:val="007905A9"/>
    <w:rsid w:val="007A0728"/>
    <w:rsid w:val="007B2213"/>
    <w:rsid w:val="007B6644"/>
    <w:rsid w:val="007C4CC9"/>
    <w:rsid w:val="007E5500"/>
    <w:rsid w:val="007F055B"/>
    <w:rsid w:val="00811C2F"/>
    <w:rsid w:val="00812133"/>
    <w:rsid w:val="008172D4"/>
    <w:rsid w:val="00833D46"/>
    <w:rsid w:val="00837099"/>
    <w:rsid w:val="00840A97"/>
    <w:rsid w:val="008806F5"/>
    <w:rsid w:val="00891988"/>
    <w:rsid w:val="008B0077"/>
    <w:rsid w:val="008B6F2C"/>
    <w:rsid w:val="008C0149"/>
    <w:rsid w:val="008D0804"/>
    <w:rsid w:val="008D5DED"/>
    <w:rsid w:val="008E25CA"/>
    <w:rsid w:val="008F34FC"/>
    <w:rsid w:val="00905A89"/>
    <w:rsid w:val="00914BA2"/>
    <w:rsid w:val="00920774"/>
    <w:rsid w:val="0092190C"/>
    <w:rsid w:val="00930430"/>
    <w:rsid w:val="00944CD7"/>
    <w:rsid w:val="009831B2"/>
    <w:rsid w:val="009A1ABE"/>
    <w:rsid w:val="009A6D42"/>
    <w:rsid w:val="009C7A58"/>
    <w:rsid w:val="009E21A4"/>
    <w:rsid w:val="009F22C6"/>
    <w:rsid w:val="009F4887"/>
    <w:rsid w:val="00A07E50"/>
    <w:rsid w:val="00A1371C"/>
    <w:rsid w:val="00A15397"/>
    <w:rsid w:val="00A2730E"/>
    <w:rsid w:val="00A27DAB"/>
    <w:rsid w:val="00A35CE0"/>
    <w:rsid w:val="00A40FFC"/>
    <w:rsid w:val="00A4462E"/>
    <w:rsid w:val="00A44AA4"/>
    <w:rsid w:val="00A61623"/>
    <w:rsid w:val="00A6620E"/>
    <w:rsid w:val="00A70890"/>
    <w:rsid w:val="00A84687"/>
    <w:rsid w:val="00A8714B"/>
    <w:rsid w:val="00A92557"/>
    <w:rsid w:val="00AA165E"/>
    <w:rsid w:val="00AB0A0E"/>
    <w:rsid w:val="00AB74E7"/>
    <w:rsid w:val="00AD3B6E"/>
    <w:rsid w:val="00AD4F27"/>
    <w:rsid w:val="00AE744F"/>
    <w:rsid w:val="00AE7C35"/>
    <w:rsid w:val="00AF5632"/>
    <w:rsid w:val="00AF7117"/>
    <w:rsid w:val="00B110F8"/>
    <w:rsid w:val="00B1751F"/>
    <w:rsid w:val="00B340EF"/>
    <w:rsid w:val="00B40472"/>
    <w:rsid w:val="00B42F90"/>
    <w:rsid w:val="00B56722"/>
    <w:rsid w:val="00B63F3B"/>
    <w:rsid w:val="00B71DDD"/>
    <w:rsid w:val="00B744C0"/>
    <w:rsid w:val="00B74D39"/>
    <w:rsid w:val="00B872C2"/>
    <w:rsid w:val="00B91DA4"/>
    <w:rsid w:val="00BA7A9F"/>
    <w:rsid w:val="00C12630"/>
    <w:rsid w:val="00C25A81"/>
    <w:rsid w:val="00C2790A"/>
    <w:rsid w:val="00C334E4"/>
    <w:rsid w:val="00C34562"/>
    <w:rsid w:val="00C3774E"/>
    <w:rsid w:val="00C37D3E"/>
    <w:rsid w:val="00C430E4"/>
    <w:rsid w:val="00C53D1B"/>
    <w:rsid w:val="00C57456"/>
    <w:rsid w:val="00C65387"/>
    <w:rsid w:val="00C76184"/>
    <w:rsid w:val="00C87FAB"/>
    <w:rsid w:val="00C91FF7"/>
    <w:rsid w:val="00C94E53"/>
    <w:rsid w:val="00CF4AFA"/>
    <w:rsid w:val="00CF4BD7"/>
    <w:rsid w:val="00D0048E"/>
    <w:rsid w:val="00D02E1B"/>
    <w:rsid w:val="00D03AF6"/>
    <w:rsid w:val="00D219D9"/>
    <w:rsid w:val="00D23E7A"/>
    <w:rsid w:val="00D35FC9"/>
    <w:rsid w:val="00D43FAE"/>
    <w:rsid w:val="00D61063"/>
    <w:rsid w:val="00D93BB1"/>
    <w:rsid w:val="00DB35AF"/>
    <w:rsid w:val="00DC56F3"/>
    <w:rsid w:val="00DC71A8"/>
    <w:rsid w:val="00DD2C99"/>
    <w:rsid w:val="00DD56C5"/>
    <w:rsid w:val="00DD72D7"/>
    <w:rsid w:val="00DE3553"/>
    <w:rsid w:val="00DF5B88"/>
    <w:rsid w:val="00E01777"/>
    <w:rsid w:val="00E0179D"/>
    <w:rsid w:val="00E0589E"/>
    <w:rsid w:val="00E241FA"/>
    <w:rsid w:val="00E2595E"/>
    <w:rsid w:val="00E35374"/>
    <w:rsid w:val="00E41D97"/>
    <w:rsid w:val="00E50C19"/>
    <w:rsid w:val="00E60583"/>
    <w:rsid w:val="00E64655"/>
    <w:rsid w:val="00E654A3"/>
    <w:rsid w:val="00E73081"/>
    <w:rsid w:val="00E856C9"/>
    <w:rsid w:val="00EB6A8B"/>
    <w:rsid w:val="00EF295A"/>
    <w:rsid w:val="00EF38C6"/>
    <w:rsid w:val="00EF74FE"/>
    <w:rsid w:val="00F07966"/>
    <w:rsid w:val="00F27122"/>
    <w:rsid w:val="00F40F11"/>
    <w:rsid w:val="00F47E70"/>
    <w:rsid w:val="00F679C7"/>
    <w:rsid w:val="00F7711A"/>
    <w:rsid w:val="00F802B1"/>
    <w:rsid w:val="00FA0D58"/>
    <w:rsid w:val="00FA56F4"/>
    <w:rsid w:val="00FA7B29"/>
    <w:rsid w:val="00FB4EDA"/>
    <w:rsid w:val="00FC22CF"/>
    <w:rsid w:val="00FC5695"/>
    <w:rsid w:val="00FD3BD5"/>
    <w:rsid w:val="00FD7E8E"/>
    <w:rsid w:val="00FE3DC8"/>
    <w:rsid w:val="00FF04D7"/>
    <w:rsid w:val="04073F84"/>
    <w:rsid w:val="0B60750A"/>
    <w:rsid w:val="10686488"/>
    <w:rsid w:val="10DF728A"/>
    <w:rsid w:val="1264200E"/>
    <w:rsid w:val="141C5B77"/>
    <w:rsid w:val="18D8339D"/>
    <w:rsid w:val="1A21388F"/>
    <w:rsid w:val="1A570D2F"/>
    <w:rsid w:val="1B356D9D"/>
    <w:rsid w:val="28FB0B8D"/>
    <w:rsid w:val="2A9870FC"/>
    <w:rsid w:val="2D2B7942"/>
    <w:rsid w:val="2D46481D"/>
    <w:rsid w:val="2E733B28"/>
    <w:rsid w:val="31852B5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37"/>
    <w:unhideWhenUsed/>
    <w:qFormat/>
    <w:uiPriority w:val="99"/>
    <w:pPr>
      <w:spacing w:after="0" w:line="240" w:lineRule="auto"/>
    </w:pPr>
    <w:rPr>
      <w:rFonts w:ascii="仿宋_GB2312" w:hAnsi="仿宋_GB2312" w:eastAsia="仿宋_GB2312" w:cs="仿宋_GB2312"/>
      <w:sz w:val="32"/>
      <w:szCs w:val="32"/>
      <w:lang w:val="zh-CN" w:bidi="zh-CN"/>
    </w:rPr>
  </w:style>
  <w:style w:type="paragraph" w:styleId="7">
    <w:name w:val="Date"/>
    <w:basedOn w:val="1"/>
    <w:next w:val="1"/>
    <w:link w:val="32"/>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10"/>
    <w:qFormat/>
    <w:uiPriority w:val="99"/>
    <w:rPr>
      <w:sz w:val="18"/>
      <w:szCs w:val="18"/>
    </w:rPr>
  </w:style>
  <w:style w:type="character" w:customStyle="1" w:styleId="17">
    <w:name w:val="页脚 Char"/>
    <w:basedOn w:val="15"/>
    <w:link w:val="9"/>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8"/>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1"/>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7"/>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 w:type="character" w:customStyle="1" w:styleId="34">
    <w:name w:val="样式1 Char"/>
    <w:link w:val="35"/>
    <w:qFormat/>
    <w:locked/>
    <w:uiPriority w:val="0"/>
    <w:rPr>
      <w:rFonts w:ascii="华文中宋" w:hAnsi="华文中宋" w:eastAsia="华文中宋" w:cs="宋体"/>
      <w:color w:val="070809"/>
      <w:sz w:val="44"/>
      <w:szCs w:val="44"/>
      <w:shd w:val="clear" w:color="auto" w:fill="FFFFFE"/>
      <w:lang w:val="zh-CN"/>
    </w:rPr>
  </w:style>
  <w:style w:type="paragraph" w:customStyle="1" w:styleId="35">
    <w:name w:val="样式1"/>
    <w:basedOn w:val="1"/>
    <w:link w:val="34"/>
    <w:qFormat/>
    <w:uiPriority w:val="0"/>
    <w:pPr>
      <w:shd w:val="clear" w:color="auto" w:fill="FFFFFE"/>
      <w:autoSpaceDE w:val="0"/>
      <w:autoSpaceDN w:val="0"/>
      <w:adjustRightInd w:val="0"/>
      <w:spacing w:after="0" w:line="475" w:lineRule="exact"/>
      <w:ind w:right="164"/>
      <w:jc w:val="center"/>
    </w:pPr>
    <w:rPr>
      <w:rFonts w:ascii="华文中宋" w:hAnsi="华文中宋" w:eastAsia="华文中宋" w:cs="宋体"/>
      <w:color w:val="070809"/>
      <w:kern w:val="0"/>
      <w:sz w:val="44"/>
      <w:szCs w:val="44"/>
      <w:lang w:val="zh-CN"/>
    </w:rPr>
  </w:style>
  <w:style w:type="paragraph" w:customStyle="1" w:styleId="36">
    <w:name w:val="p0"/>
    <w:basedOn w:val="1"/>
    <w:qFormat/>
    <w:uiPriority w:val="0"/>
    <w:pPr>
      <w:widowControl/>
      <w:spacing w:after="0" w:line="240" w:lineRule="auto"/>
    </w:pPr>
    <w:rPr>
      <w:kern w:val="0"/>
      <w:szCs w:val="21"/>
    </w:rPr>
  </w:style>
  <w:style w:type="character" w:customStyle="1" w:styleId="37">
    <w:name w:val="正文文本 Char"/>
    <w:basedOn w:val="15"/>
    <w:link w:val="6"/>
    <w:qFormat/>
    <w:uiPriority w:val="99"/>
    <w:rPr>
      <w:rFonts w:ascii="仿宋_GB2312" w:hAnsi="仿宋_GB2312" w:eastAsia="仿宋_GB2312" w:cs="仿宋_GB2312"/>
      <w:kern w:val="2"/>
      <w:sz w:val="32"/>
      <w:szCs w:val="32"/>
      <w:lang w:val="zh-CN" w:bidi="zh-CN"/>
    </w:rPr>
  </w:style>
  <w:style w:type="paragraph" w:customStyle="1" w:styleId="38">
    <w:name w:val="列出段落1"/>
    <w:basedOn w:val="1"/>
    <w:qFormat/>
    <w:uiPriority w:val="1"/>
    <w:pPr>
      <w:spacing w:before="2" w:after="0" w:line="240" w:lineRule="auto"/>
      <w:ind w:left="119" w:right="434" w:firstLine="643"/>
    </w:pPr>
    <w:rPr>
      <w:rFonts w:ascii="仿宋_GB2312" w:hAnsi="仿宋_GB2312" w:eastAsia="仿宋_GB2312" w:cs="仿宋_GB231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082"/>
    <customShpInfo spid="_x0000_s1081"/>
    <customShpInfo spid="_x0000_s1080"/>
    <customShpInfo spid="_x0000_s1079"/>
    <customShpInfo spid="_x0000_s1078"/>
    <customShpInfo spid="_x0000_s1077"/>
    <customShpInfo spid="_x0000_s1076"/>
    <customShpInfo spid="_x0000_s1132"/>
    <customShpInfo spid="_x0000_s1133"/>
    <customShpInfo spid="_x0000_s1130"/>
    <customShpInfo spid="_x0000_s1129"/>
    <customShpInfo spid="_x0000_s1134"/>
    <customShpInfo spid="_x0000_s1137"/>
    <customShpInfo spid="_x0000_s1138"/>
    <customShpInfo spid="_x0000_s1139"/>
    <customShpInfo spid="_x0000_s1075"/>
    <customShpInfo spid="_x0000_s1074"/>
    <customShpInfo spid="_x0000_s1073"/>
    <customShpInfo spid="_x0000_s1136"/>
    <customShpInfo spid="_x0000_s1072"/>
    <customShpInfo spid="_x0000_s1071"/>
    <customShpInfo spid="_x0000_s1070"/>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1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1CA0CB-5A28-40E1-B20C-C0A81AB73B3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6854</Words>
  <Characters>7601</Characters>
  <Lines>56</Lines>
  <Paragraphs>15</Paragraphs>
  <TotalTime>926</TotalTime>
  <ScaleCrop>false</ScaleCrop>
  <LinksUpToDate>false</LinksUpToDate>
  <CharactersWithSpaces>7624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楠  </cp:lastModifiedBy>
  <cp:lastPrinted>2019-08-02T01:01:00Z</cp:lastPrinted>
  <dcterms:modified xsi:type="dcterms:W3CDTF">2024-06-13T23:25:30Z</dcterms:modified>
  <dc:subject>石家庄市xxx部门</dc:subject>
  <dc:title>2017年度部门决算</dc:title>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3484F6FC2FCE409FAF85145DA9EBBDA1_12</vt:lpwstr>
  </property>
</Properties>
</file>