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60288"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1312;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邯郸市交通运输局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二〇一九年十一月</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6672;mso-width-relative:page;mso-height-relative:page;" coordorigin="45,526" coordsize="85,13982"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top:526;height:11;width:85;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top:528;height:12;width:8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5648;mso-width-relative:page;mso-height-relative:page;" coordorigin="45,526" coordsize="85,13982"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top:526;height:11;width:85;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top:528;height:12;width:8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360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numPr>
          <w:ilvl w:val="0"/>
          <w:numId w:val="1"/>
        </w:numPr>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3360;mso-width-relative:page;mso-height-relative:page;" coordorigin="45,526" coordsize="85,13982"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top:526;height:11;width:85;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top:528;height:12;width:8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部门职责</w:t>
      </w:r>
    </w:p>
    <w:p>
      <w:pPr>
        <w:tabs>
          <w:tab w:val="left" w:pos="0"/>
        </w:tabs>
        <w:rPr>
          <w:rFonts w:ascii="仿宋" w:hAnsi="仿宋" w:eastAsia="仿宋"/>
          <w:sz w:val="32"/>
          <w:szCs w:val="32"/>
        </w:rPr>
      </w:pPr>
      <w:r>
        <w:rPr>
          <w:rFonts w:hint="eastAsia" w:ascii="仿宋" w:hAnsi="仿宋" w:eastAsia="仿宋"/>
          <w:sz w:val="32"/>
          <w:szCs w:val="32"/>
        </w:rPr>
        <w:t>（一）承担全市综合运输体系的规划协调工作，会同有关部门组织编制综合运输体系规划，负责交通运输枢纽规划、建设和管理。</w:t>
      </w:r>
    </w:p>
    <w:p>
      <w:pPr>
        <w:tabs>
          <w:tab w:val="left" w:pos="0"/>
        </w:tabs>
        <w:rPr>
          <w:rFonts w:ascii="仿宋" w:hAnsi="仿宋" w:eastAsia="仿宋"/>
          <w:sz w:val="32"/>
          <w:szCs w:val="32"/>
        </w:rPr>
      </w:pPr>
      <w:r>
        <w:rPr>
          <w:rFonts w:hint="eastAsia" w:ascii="仿宋" w:hAnsi="仿宋" w:eastAsia="仿宋"/>
          <w:sz w:val="32"/>
          <w:szCs w:val="32"/>
        </w:rPr>
        <w:t>（二）组织拟订并监督实施全市公路、水路、地铁、轨道运输等行业方针政策、地方法规草案、发展战略和规划、中长期计划和年度计划。参与拟订邯郸市物流业发展战略和规划，拟订有关政策和标准并监督实施。指导公路、水路、地铁等行业有关体制改革工作。</w:t>
      </w:r>
    </w:p>
    <w:p>
      <w:pPr>
        <w:tabs>
          <w:tab w:val="left" w:pos="900"/>
        </w:tabs>
        <w:rPr>
          <w:rFonts w:ascii="仿宋" w:hAnsi="仿宋" w:eastAsia="仿宋"/>
          <w:sz w:val="32"/>
          <w:szCs w:val="32"/>
        </w:rPr>
      </w:pPr>
      <w:r>
        <w:rPr>
          <w:rFonts w:hint="eastAsia" w:ascii="仿宋" w:hAnsi="仿宋" w:eastAsia="仿宋"/>
          <w:sz w:val="32"/>
          <w:szCs w:val="32"/>
        </w:rPr>
        <w:t>（三）组织推进全市城乡公交一体化的实施，指导协调运输企业客运线路运营。</w:t>
      </w:r>
    </w:p>
    <w:p>
      <w:pPr>
        <w:tabs>
          <w:tab w:val="left" w:pos="0"/>
        </w:tabs>
        <w:rPr>
          <w:rFonts w:ascii="仿宋" w:hAnsi="仿宋" w:eastAsia="仿宋"/>
          <w:sz w:val="32"/>
          <w:szCs w:val="32"/>
        </w:rPr>
      </w:pPr>
      <w:r>
        <w:rPr>
          <w:rFonts w:hint="eastAsia" w:ascii="仿宋" w:hAnsi="仿宋" w:eastAsia="仿宋"/>
          <w:sz w:val="32"/>
          <w:szCs w:val="32"/>
        </w:rPr>
        <w:t>（四）承担全市公路、水路运输市场监管责任。组织拟订公路、水路运输有关政策、准入退出制度、技术标准和运营规范并监督实施。负责运输市场、运输服务、车辆维修、停车场、搬运装卸、机动车性能检测、机动车驾驶学校和驾驶员培训的行业管理。负责和指导城乡客运及有关设施规划和管理，负责出租汽车行业管理工作。</w:t>
      </w:r>
    </w:p>
    <w:p>
      <w:pPr>
        <w:tabs>
          <w:tab w:val="left" w:pos="900"/>
        </w:tabs>
        <w:rPr>
          <w:rFonts w:ascii="仿宋" w:hAnsi="仿宋" w:eastAsia="仿宋"/>
          <w:sz w:val="32"/>
          <w:szCs w:val="32"/>
        </w:rPr>
      </w:pPr>
      <w:r>
        <w:rPr>
          <w:rFonts w:hint="eastAsia" w:ascii="仿宋" w:hAnsi="仿宋" w:eastAsia="仿宋"/>
          <w:sz w:val="32"/>
          <w:szCs w:val="32"/>
        </w:rPr>
        <w:t>（五）承担全市管辖水域水上交通安全监管责任。负责水上交通管制、船舶及相关水上设施检验、登记和防治污染及安全监管，负责船员管理、参与事故调查有关工作。</w:t>
      </w:r>
    </w:p>
    <w:p>
      <w:pPr>
        <w:tabs>
          <w:tab w:val="left" w:pos="0"/>
        </w:tabs>
        <w:rPr>
          <w:rFonts w:ascii="仿宋" w:hAnsi="仿宋" w:eastAsia="仿宋"/>
          <w:sz w:val="32"/>
          <w:szCs w:val="32"/>
        </w:rPr>
      </w:pPr>
      <w:r>
        <w:rPr>
          <w:rFonts w:hint="eastAsia" w:ascii="仿宋" w:hAnsi="仿宋" w:eastAsia="仿宋"/>
          <w:sz w:val="32"/>
          <w:szCs w:val="32"/>
        </w:rPr>
        <w:t>（六）负责提出全市交通运输行业固定资产投资规模和投资项目的报批工作；负责交通国有资产管理和交通专项资金的管理使用；负责行业内部审计。</w:t>
      </w:r>
    </w:p>
    <w:p>
      <w:pPr>
        <w:tabs>
          <w:tab w:val="left" w:pos="180"/>
        </w:tabs>
        <w:rPr>
          <w:rFonts w:ascii="仿宋" w:hAnsi="仿宋" w:eastAsia="仿宋"/>
          <w:sz w:val="32"/>
          <w:szCs w:val="32"/>
        </w:rPr>
      </w:pPr>
      <w:r>
        <w:rPr>
          <w:rFonts w:hint="eastAsia" w:ascii="仿宋" w:hAnsi="仿宋" w:eastAsia="仿宋"/>
          <w:sz w:val="32"/>
          <w:szCs w:val="32"/>
        </w:rPr>
        <w:t>（七）承担全市公路建设市场监管责任。负责贯彻落实公路工程建设有关政策、制度和技术标准。组织公路及其设施建设、养护和管理；组织协调公路工程建设和工程质量、安全生产监督管理工作；负责全市交通基本建设项目招投标活动的监督管理；负责全市收费公路管理。</w:t>
      </w:r>
    </w:p>
    <w:p>
      <w:pPr>
        <w:tabs>
          <w:tab w:val="left" w:pos="180"/>
        </w:tabs>
        <w:rPr>
          <w:rFonts w:ascii="仿宋" w:hAnsi="仿宋" w:eastAsia="仿宋"/>
          <w:sz w:val="32"/>
          <w:szCs w:val="32"/>
        </w:rPr>
      </w:pPr>
      <w:r>
        <w:rPr>
          <w:rFonts w:hint="eastAsia" w:ascii="仿宋" w:hAnsi="仿宋" w:eastAsia="仿宋"/>
          <w:sz w:val="32"/>
          <w:szCs w:val="32"/>
        </w:rPr>
        <w:t>（八）承担全市公路、水路行业安全生产和应急管理工作。按规定组织协调国家、省、市重点物资和紧急客货运输。承担国防交通战备工作。</w:t>
      </w:r>
    </w:p>
    <w:p>
      <w:pPr>
        <w:tabs>
          <w:tab w:val="left" w:pos="0"/>
        </w:tabs>
        <w:rPr>
          <w:rFonts w:ascii="仿宋" w:hAnsi="仿宋" w:eastAsia="仿宋"/>
          <w:sz w:val="32"/>
          <w:szCs w:val="32"/>
        </w:rPr>
      </w:pPr>
      <w:r>
        <w:rPr>
          <w:rFonts w:hint="eastAsia" w:ascii="仿宋" w:hAnsi="仿宋" w:eastAsia="仿宋"/>
          <w:sz w:val="32"/>
          <w:szCs w:val="32"/>
        </w:rPr>
        <w:t>（九）拟订全市民航行业有关规划，负责全市民航业发展和管理的组织协调。</w:t>
      </w:r>
    </w:p>
    <w:p>
      <w:pPr>
        <w:tabs>
          <w:tab w:val="left" w:pos="0"/>
        </w:tabs>
        <w:rPr>
          <w:rFonts w:ascii="仿宋" w:hAnsi="仿宋" w:eastAsia="仿宋"/>
          <w:sz w:val="32"/>
          <w:szCs w:val="32"/>
        </w:rPr>
      </w:pPr>
      <w:r>
        <w:rPr>
          <w:rFonts w:hint="eastAsia" w:ascii="仿宋" w:hAnsi="仿宋" w:eastAsia="仿宋"/>
          <w:sz w:val="32"/>
          <w:szCs w:val="32"/>
        </w:rPr>
        <w:t>（十）承担全市公路路政管理，会同有关部门治理运输车辆超载。</w:t>
      </w:r>
    </w:p>
    <w:p>
      <w:pPr>
        <w:tabs>
          <w:tab w:val="left" w:pos="1080"/>
        </w:tabs>
        <w:rPr>
          <w:rFonts w:ascii="仿宋" w:hAnsi="仿宋" w:eastAsia="仿宋"/>
          <w:sz w:val="32"/>
          <w:szCs w:val="32"/>
        </w:rPr>
      </w:pPr>
      <w:r>
        <w:rPr>
          <w:rFonts w:hint="eastAsia" w:ascii="仿宋" w:hAnsi="仿宋" w:eastAsia="仿宋"/>
          <w:sz w:val="32"/>
          <w:szCs w:val="32"/>
        </w:rPr>
        <w:t>（十一）负责全市交通运输信息化建设，监测分析运行情况并发布有关信息。指导公路、水路行业环境保护和节能减排工作。</w:t>
      </w:r>
    </w:p>
    <w:p>
      <w:pPr>
        <w:rPr>
          <w:rFonts w:ascii="仿宋" w:hAnsi="仿宋" w:eastAsia="仿宋"/>
          <w:sz w:val="32"/>
          <w:szCs w:val="32"/>
        </w:rPr>
      </w:pPr>
      <w:r>
        <w:rPr>
          <w:rFonts w:hint="eastAsia" w:ascii="仿宋" w:hAnsi="仿宋" w:eastAsia="仿宋"/>
          <w:sz w:val="32"/>
          <w:szCs w:val="32"/>
        </w:rPr>
        <w:t>（十二）拟订全市交通运输行业科技政策、技术标准和规范；指导交通运输行业精神文明建设。</w:t>
      </w:r>
    </w:p>
    <w:p>
      <w:pPr>
        <w:rPr>
          <w:rFonts w:ascii="仿宋" w:hAnsi="仿宋" w:eastAsia="仿宋"/>
          <w:sz w:val="32"/>
          <w:szCs w:val="32"/>
        </w:rPr>
      </w:pPr>
      <w:r>
        <w:rPr>
          <w:rFonts w:hint="eastAsia" w:ascii="仿宋" w:hAnsi="仿宋" w:eastAsia="仿宋"/>
          <w:sz w:val="32"/>
          <w:szCs w:val="32"/>
        </w:rPr>
        <w:t>（十三）负责全市交通运输行业涉外事宜，指导利用外资，开展国际交通运输经济技术合作与交流。</w:t>
      </w:r>
    </w:p>
    <w:p>
      <w:pPr>
        <w:rPr>
          <w:rFonts w:ascii="仿宋" w:hAnsi="仿宋" w:eastAsia="仿宋"/>
          <w:sz w:val="32"/>
          <w:szCs w:val="32"/>
        </w:rPr>
      </w:pPr>
      <w:r>
        <w:rPr>
          <w:rFonts w:hint="eastAsia" w:ascii="仿宋" w:hAnsi="仿宋" w:eastAsia="仿宋"/>
          <w:sz w:val="32"/>
          <w:szCs w:val="32"/>
        </w:rPr>
        <w:t>（十四）负责城市公共交通的行业管理，会同有关部门做好相关场站建设和线路设置工作。</w:t>
      </w:r>
    </w:p>
    <w:p>
      <w:r>
        <w:rPr>
          <w:rFonts w:hint="eastAsia" w:ascii="仿宋" w:hAnsi="仿宋" w:eastAsia="仿宋"/>
          <w:sz w:val="32"/>
          <w:szCs w:val="32"/>
        </w:rPr>
        <w:t>（十五）承办市委、市政府交办的其他事项。</w:t>
      </w:r>
    </w:p>
    <w:p>
      <w:pPr>
        <w:pStyle w:val="2"/>
        <w:numPr>
          <w:ilvl w:val="0"/>
          <w:numId w:val="1"/>
        </w:numPr>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机构设置</w:t>
      </w:r>
    </w:p>
    <w:p>
      <w:pPr>
        <w:ind w:firstLine="640" w:firstLineChars="200"/>
        <w:rPr>
          <w:rFonts w:ascii="仿宋" w:hAnsi="仿宋" w:eastAsia="仿宋"/>
          <w:sz w:val="32"/>
          <w:szCs w:val="32"/>
        </w:rPr>
      </w:pPr>
      <w:r>
        <w:rPr>
          <w:rFonts w:hint="eastAsia" w:ascii="仿宋" w:hAnsi="仿宋" w:eastAsia="仿宋"/>
          <w:sz w:val="32"/>
          <w:szCs w:val="32"/>
        </w:rPr>
        <w:t>邯郸市交通运输局内设机构10个。包括：办公室、政策法规处（行政许可服务处）、综合规划处、财务处、人事劳动处、基建管理处、运输安全处、机关党委、工会、离退休干部处。</w:t>
      </w:r>
    </w:p>
    <w:p>
      <w:pPr>
        <w:pStyle w:val="34"/>
        <w:spacing w:line="560" w:lineRule="exact"/>
        <w:ind w:firstLine="640" w:firstLineChars="200"/>
        <w:jc w:val="left"/>
        <w:rPr>
          <w:rFonts w:ascii="仿宋" w:hAnsi="仿宋" w:eastAsia="仿宋"/>
          <w:sz w:val="32"/>
          <w:szCs w:val="32"/>
        </w:rPr>
      </w:pPr>
      <w:r>
        <w:rPr>
          <w:rFonts w:hint="eastAsia" w:ascii="仿宋" w:hAnsi="仿宋" w:eastAsia="仿宋"/>
          <w:sz w:val="32"/>
          <w:szCs w:val="32"/>
        </w:rPr>
        <w:t>邯郸市交通运输局所属预算单位21个。其中：行政单位1个，事业单位20个。具体情况如下：</w:t>
      </w:r>
    </w:p>
    <w:tbl>
      <w:tblPr>
        <w:tblStyle w:val="12"/>
        <w:tblpPr w:leftFromText="180" w:rightFromText="180" w:vertAnchor="text" w:tblpXSpec="center" w:tblpY="1"/>
        <w:tblOverlap w:val="never"/>
        <w:tblW w:w="988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5"/>
        <w:gridCol w:w="3509"/>
        <w:gridCol w:w="2552"/>
        <w:gridCol w:w="26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79" w:hRule="atLeast"/>
          <w:tblHeader/>
        </w:trPr>
        <w:tc>
          <w:tcPr>
            <w:tcW w:w="1135" w:type="dxa"/>
            <w:tcBorders>
              <w:top w:val="single" w:color="000000" w:sz="6" w:space="0"/>
              <w:left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序号</w:t>
            </w:r>
          </w:p>
        </w:tc>
        <w:tc>
          <w:tcPr>
            <w:tcW w:w="3509"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firstLine="723" w:firstLineChars="200"/>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单位名称</w:t>
            </w:r>
          </w:p>
        </w:tc>
        <w:tc>
          <w:tcPr>
            <w:tcW w:w="2552"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单位基本性质</w:t>
            </w:r>
          </w:p>
        </w:tc>
        <w:tc>
          <w:tcPr>
            <w:tcW w:w="2693" w:type="dxa"/>
            <w:tcBorders>
              <w:top w:val="single" w:color="000000" w:sz="6"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firstLine="354" w:firstLineChars="98"/>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经费形式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atLeast"/>
        </w:trPr>
        <w:tc>
          <w:tcPr>
            <w:tcW w:w="1135"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w:t>
            </w:r>
          </w:p>
        </w:tc>
        <w:tc>
          <w:tcPr>
            <w:tcW w:w="3509"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邯郸市交通运输局机关</w:t>
            </w:r>
          </w:p>
        </w:tc>
        <w:tc>
          <w:tcPr>
            <w:tcW w:w="2552"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行政单位</w:t>
            </w:r>
          </w:p>
        </w:tc>
        <w:tc>
          <w:tcPr>
            <w:tcW w:w="2693"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财政拨款（行政）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4"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邯郸市交通运输局运输管理处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3</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邯郸市交通运输局出租汽车管理处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4</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邯郸市高速公路管理局</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财政性资金零补助（全额事业）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5</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邯郸市交通运输局超限超载治理处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6</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交通建设投资管理中心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财政性资金零补助（全额事业）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7</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邯郸市交通运输局公路养护管理处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8</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邯郸市交通运输局地方道路管理处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9</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邯郸市交通运输局公路路政管理处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10</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邯郸市交通运输局公路工程质量监督处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11</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邯郸市交通运输局合资合作公路管理处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12</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13</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邯郸市交通局公路项目办公室</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14</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邯郸市交通运输局城郊公路养护处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15</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邯郸市交通运输局场站建设管理处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16</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邯郸市交通运输局事务管理处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17</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邯郸市交通运输局国有资产管理处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18</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邯郸市交通运输局通信管理处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19</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邯郸市交通运输局培训中心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20</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邯郸市交通运输局材料供应处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1"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21</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邯郸市交通运输局公路工程质量监理中心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bl>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64384;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ind w:firstLine="2880" w:firstLineChars="600"/>
        <w:rPr>
          <w:rFonts w:ascii="仿宋_GB2312" w:eastAsia="仿宋_GB2312"/>
          <w:sz w:val="48"/>
          <w:szCs w:val="48"/>
        </w:rPr>
      </w:pPr>
      <w:r>
        <w:rPr>
          <w:rFonts w:hint="eastAsia" w:ascii="仿宋_GB2312" w:eastAsia="仿宋_GB2312"/>
          <w:sz w:val="48"/>
          <w:szCs w:val="48"/>
        </w:rPr>
        <w:t>（</w:t>
      </w:r>
      <w:r>
        <w:rPr>
          <w:rFonts w:hint="eastAsia" w:ascii="宋体" w:hAnsi="宋体" w:cs="宋体"/>
          <w:sz w:val="48"/>
          <w:szCs w:val="48"/>
        </w:rPr>
        <w:t>详见附</w:t>
      </w:r>
      <w:r>
        <w:rPr>
          <w:rFonts w:hint="eastAsia" w:ascii="___WRD_EMBED_SUB_40" w:hAnsi="___WRD_EMBED_SUB_40" w:eastAsia="___WRD_EMBED_SUB_40" w:cs="___WRD_EMBED_SUB_40"/>
          <w:sz w:val="48"/>
          <w:szCs w:val="48"/>
        </w:rPr>
        <w:t>表）</w:t>
      </w:r>
    </w:p>
    <w:p>
      <w:pPr>
        <w:shd w:val="clear" w:color="auto" w:fill="FFFFFE"/>
        <w:autoSpaceDE w:val="0"/>
        <w:autoSpaceDN w:val="0"/>
        <w:adjustRightInd w:val="0"/>
        <w:spacing w:line="700" w:lineRule="exact"/>
        <w:ind w:left="638" w:leftChars="304" w:right="164"/>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一、</w:t>
      </w:r>
      <w:r>
        <w:rPr>
          <w:rFonts w:hint="eastAsia" w:ascii="仿宋" w:hAnsi="仿宋" w:eastAsia="仿宋" w:cs="宋体"/>
          <w:color w:val="111213"/>
          <w:sz w:val="32"/>
          <w:szCs w:val="32"/>
          <w:lang w:val="zh-CN"/>
        </w:rPr>
        <w:t>收</w:t>
      </w:r>
      <w:r>
        <w:rPr>
          <w:rFonts w:hint="eastAsia" w:ascii="仿宋" w:hAnsi="仿宋" w:eastAsia="仿宋" w:cs="宋体"/>
          <w:color w:val="262728"/>
          <w:sz w:val="32"/>
          <w:szCs w:val="32"/>
          <w:lang w:val="zh-CN"/>
        </w:rPr>
        <w:t>入</w:t>
      </w:r>
      <w:r>
        <w:rPr>
          <w:rFonts w:hint="eastAsia" w:ascii="仿宋" w:hAnsi="仿宋" w:eastAsia="仿宋" w:cs="宋体"/>
          <w:color w:val="111213"/>
          <w:sz w:val="32"/>
          <w:szCs w:val="32"/>
          <w:lang w:val="zh-CN"/>
        </w:rPr>
        <w:t>支</w:t>
      </w:r>
      <w:r>
        <w:rPr>
          <w:rFonts w:hint="eastAsia" w:ascii="仿宋" w:hAnsi="仿宋" w:eastAsia="仿宋" w:cs="宋体"/>
          <w:color w:val="262728"/>
          <w:sz w:val="32"/>
          <w:szCs w:val="32"/>
          <w:lang w:val="zh-CN"/>
        </w:rPr>
        <w:t>出决算总</w:t>
      </w:r>
      <w:r>
        <w:rPr>
          <w:rFonts w:hint="eastAsia" w:ascii="仿宋" w:hAnsi="仿宋" w:eastAsia="仿宋" w:cs="宋体"/>
          <w:color w:val="111213"/>
          <w:sz w:val="32"/>
          <w:szCs w:val="32"/>
          <w:lang w:val="zh-CN"/>
        </w:rPr>
        <w:t>表</w:t>
      </w:r>
      <w:r>
        <w:rPr>
          <w:rFonts w:hint="eastAsia" w:ascii="仿宋" w:hAnsi="仿宋" w:eastAsia="仿宋" w:cs="宋体"/>
          <w:color w:val="111213"/>
          <w:sz w:val="32"/>
          <w:szCs w:val="32"/>
          <w:lang w:val="zh-CN"/>
        </w:rPr>
        <w:br w:type="textWrapping"/>
      </w:r>
      <w:r>
        <w:rPr>
          <w:rFonts w:hint="eastAsia" w:ascii="仿宋" w:hAnsi="仿宋" w:eastAsia="仿宋" w:cs="宋体"/>
          <w:color w:val="000001"/>
          <w:sz w:val="32"/>
          <w:szCs w:val="32"/>
          <w:lang w:val="zh-CN"/>
        </w:rPr>
        <w:t>二、</w:t>
      </w:r>
      <w:r>
        <w:rPr>
          <w:rFonts w:hint="eastAsia" w:ascii="仿宋" w:hAnsi="仿宋" w:eastAsia="仿宋" w:cs="宋体"/>
          <w:color w:val="111213"/>
          <w:sz w:val="32"/>
          <w:szCs w:val="32"/>
          <w:lang w:val="zh-CN"/>
        </w:rPr>
        <w:t>收</w:t>
      </w:r>
      <w:r>
        <w:rPr>
          <w:rFonts w:hint="eastAsia" w:ascii="仿宋" w:hAnsi="仿宋" w:eastAsia="仿宋" w:cs="宋体"/>
          <w:color w:val="262728"/>
          <w:sz w:val="32"/>
          <w:szCs w:val="32"/>
          <w:lang w:val="zh-CN"/>
        </w:rPr>
        <w:t>入决算表</w:t>
      </w:r>
    </w:p>
    <w:p>
      <w:pPr>
        <w:shd w:val="clear" w:color="auto" w:fill="FFFFFE"/>
        <w:autoSpaceDE w:val="0"/>
        <w:autoSpaceDN w:val="0"/>
        <w:adjustRightInd w:val="0"/>
        <w:spacing w:line="70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三、</w:t>
      </w:r>
      <w:r>
        <w:rPr>
          <w:rFonts w:hint="eastAsia" w:ascii="仿宋" w:hAnsi="仿宋" w:eastAsia="仿宋" w:cs="宋体"/>
          <w:color w:val="111213"/>
          <w:sz w:val="32"/>
          <w:szCs w:val="32"/>
          <w:lang w:val="zh-CN"/>
        </w:rPr>
        <w:t>支出</w:t>
      </w:r>
      <w:r>
        <w:rPr>
          <w:rFonts w:hint="eastAsia" w:ascii="仿宋" w:hAnsi="仿宋" w:eastAsia="仿宋" w:cs="宋体"/>
          <w:color w:val="262728"/>
          <w:sz w:val="32"/>
          <w:szCs w:val="32"/>
          <w:lang w:val="zh-CN"/>
        </w:rPr>
        <w:t>决算表</w:t>
      </w:r>
    </w:p>
    <w:p>
      <w:pPr>
        <w:shd w:val="clear" w:color="auto" w:fill="FFFFFE"/>
        <w:autoSpaceDE w:val="0"/>
        <w:autoSpaceDN w:val="0"/>
        <w:adjustRightInd w:val="0"/>
        <w:spacing w:line="70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四、</w:t>
      </w:r>
      <w:r>
        <w:rPr>
          <w:rFonts w:hint="eastAsia" w:ascii="仿宋" w:hAnsi="仿宋" w:eastAsia="仿宋" w:cs="宋体"/>
          <w:color w:val="262728"/>
          <w:sz w:val="32"/>
          <w:szCs w:val="32"/>
          <w:lang w:val="zh-CN"/>
        </w:rPr>
        <w:t>财</w:t>
      </w:r>
      <w:r>
        <w:rPr>
          <w:rFonts w:hint="eastAsia" w:ascii="仿宋" w:hAnsi="仿宋" w:eastAsia="仿宋" w:cs="宋体"/>
          <w:color w:val="111213"/>
          <w:sz w:val="32"/>
          <w:szCs w:val="32"/>
          <w:lang w:val="zh-CN"/>
        </w:rPr>
        <w:t>政</w:t>
      </w:r>
      <w:r>
        <w:rPr>
          <w:rFonts w:hint="eastAsia" w:ascii="仿宋" w:hAnsi="仿宋" w:eastAsia="仿宋" w:cs="宋体"/>
          <w:color w:val="262728"/>
          <w:sz w:val="32"/>
          <w:szCs w:val="32"/>
          <w:lang w:val="zh-CN"/>
        </w:rPr>
        <w:t>拨款收</w:t>
      </w:r>
      <w:r>
        <w:rPr>
          <w:rFonts w:hint="eastAsia" w:ascii="仿宋" w:hAnsi="仿宋" w:eastAsia="仿宋" w:cs="宋体"/>
          <w:color w:val="434544"/>
          <w:sz w:val="32"/>
          <w:szCs w:val="32"/>
          <w:lang w:val="zh-CN"/>
        </w:rPr>
        <w:t>入</w:t>
      </w:r>
      <w:r>
        <w:rPr>
          <w:rFonts w:hint="eastAsia" w:ascii="仿宋" w:hAnsi="仿宋" w:eastAsia="仿宋" w:cs="宋体"/>
          <w:color w:val="262728"/>
          <w:sz w:val="32"/>
          <w:szCs w:val="32"/>
          <w:lang w:val="zh-CN"/>
        </w:rPr>
        <w:t>支</w:t>
      </w:r>
      <w:r>
        <w:rPr>
          <w:rFonts w:hint="eastAsia" w:ascii="仿宋" w:hAnsi="仿宋" w:eastAsia="仿宋" w:cs="宋体"/>
          <w:color w:val="111213"/>
          <w:sz w:val="32"/>
          <w:szCs w:val="32"/>
          <w:lang w:val="zh-CN"/>
        </w:rPr>
        <w:t>出</w:t>
      </w:r>
      <w:r>
        <w:rPr>
          <w:rFonts w:hint="eastAsia" w:ascii="仿宋" w:hAnsi="仿宋" w:eastAsia="仿宋" w:cs="宋体"/>
          <w:color w:val="262728"/>
          <w:sz w:val="32"/>
          <w:szCs w:val="32"/>
          <w:lang w:val="zh-CN"/>
        </w:rPr>
        <w:t>决算总表</w:t>
      </w:r>
    </w:p>
    <w:p>
      <w:pPr>
        <w:shd w:val="clear" w:color="auto" w:fill="FFFFFE"/>
        <w:autoSpaceDE w:val="0"/>
        <w:autoSpaceDN w:val="0"/>
        <w:adjustRightInd w:val="0"/>
        <w:spacing w:line="70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五、一</w:t>
      </w:r>
      <w:r>
        <w:rPr>
          <w:rFonts w:hint="eastAsia" w:ascii="仿宋" w:hAnsi="仿宋" w:eastAsia="仿宋" w:cs="宋体"/>
          <w:color w:val="262728"/>
          <w:sz w:val="32"/>
          <w:szCs w:val="32"/>
          <w:lang w:val="zh-CN"/>
        </w:rPr>
        <w:t>般公共预算财政拨款支出</w:t>
      </w:r>
      <w:r>
        <w:rPr>
          <w:rFonts w:hint="eastAsia" w:ascii="仿宋" w:hAnsi="仿宋" w:eastAsia="仿宋" w:cs="宋体"/>
          <w:color w:val="434544"/>
          <w:sz w:val="32"/>
          <w:szCs w:val="32"/>
          <w:lang w:val="zh-CN"/>
        </w:rPr>
        <w:t>决</w:t>
      </w:r>
      <w:r>
        <w:rPr>
          <w:rFonts w:hint="eastAsia" w:ascii="仿宋" w:hAnsi="仿宋" w:eastAsia="仿宋" w:cs="宋体"/>
          <w:color w:val="262728"/>
          <w:sz w:val="32"/>
          <w:szCs w:val="32"/>
          <w:lang w:val="zh-CN"/>
        </w:rPr>
        <w:t>算表</w:t>
      </w:r>
    </w:p>
    <w:p>
      <w:pPr>
        <w:shd w:val="clear" w:color="auto" w:fill="FFFFFE"/>
        <w:autoSpaceDE w:val="0"/>
        <w:autoSpaceDN w:val="0"/>
        <w:adjustRightInd w:val="0"/>
        <w:spacing w:line="70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262728"/>
          <w:sz w:val="32"/>
          <w:szCs w:val="32"/>
          <w:lang w:val="zh-CN"/>
        </w:rPr>
        <w:t>六</w:t>
      </w:r>
      <w:r>
        <w:rPr>
          <w:rFonts w:hint="eastAsia" w:ascii="仿宋" w:hAnsi="仿宋" w:eastAsia="仿宋" w:cs="宋体"/>
          <w:color w:val="000001"/>
          <w:sz w:val="32"/>
          <w:szCs w:val="32"/>
          <w:lang w:val="zh-CN"/>
        </w:rPr>
        <w:t>、一</w:t>
      </w:r>
      <w:r>
        <w:rPr>
          <w:rFonts w:hint="eastAsia" w:ascii="仿宋" w:hAnsi="仿宋" w:eastAsia="仿宋" w:cs="宋体"/>
          <w:color w:val="262728"/>
          <w:sz w:val="32"/>
          <w:szCs w:val="32"/>
          <w:lang w:val="zh-CN"/>
        </w:rPr>
        <w:t>般</w:t>
      </w:r>
      <w:r>
        <w:rPr>
          <w:rFonts w:hint="eastAsia" w:ascii="仿宋" w:hAnsi="仿宋" w:eastAsia="仿宋" w:cs="宋体"/>
          <w:color w:val="434544"/>
          <w:sz w:val="32"/>
          <w:szCs w:val="32"/>
          <w:lang w:val="zh-CN"/>
        </w:rPr>
        <w:t>公</w:t>
      </w:r>
      <w:r>
        <w:rPr>
          <w:rFonts w:hint="eastAsia" w:ascii="仿宋" w:hAnsi="仿宋" w:eastAsia="仿宋" w:cs="宋体"/>
          <w:color w:val="262728"/>
          <w:sz w:val="32"/>
          <w:szCs w:val="32"/>
          <w:lang w:val="zh-CN"/>
        </w:rPr>
        <w:t>共预算财政拨款基本支</w:t>
      </w:r>
      <w:r>
        <w:rPr>
          <w:rFonts w:hint="eastAsia" w:ascii="仿宋" w:hAnsi="仿宋" w:eastAsia="仿宋" w:cs="宋体"/>
          <w:color w:val="111213"/>
          <w:sz w:val="32"/>
          <w:szCs w:val="32"/>
          <w:lang w:val="zh-CN"/>
        </w:rPr>
        <w:t>出</w:t>
      </w:r>
      <w:r>
        <w:rPr>
          <w:rFonts w:hint="eastAsia" w:ascii="仿宋" w:hAnsi="仿宋" w:eastAsia="仿宋" w:cs="宋体"/>
          <w:color w:val="434544"/>
          <w:sz w:val="32"/>
          <w:szCs w:val="32"/>
          <w:lang w:val="zh-CN"/>
        </w:rPr>
        <w:t>决</w:t>
      </w:r>
      <w:r>
        <w:rPr>
          <w:rFonts w:hint="eastAsia" w:ascii="仿宋" w:hAnsi="仿宋" w:eastAsia="仿宋" w:cs="宋体"/>
          <w:color w:val="262728"/>
          <w:sz w:val="32"/>
          <w:szCs w:val="32"/>
          <w:lang w:val="zh-CN"/>
        </w:rPr>
        <w:t>算表</w:t>
      </w:r>
    </w:p>
    <w:p>
      <w:pPr>
        <w:shd w:val="clear" w:color="auto" w:fill="FFFFFE"/>
        <w:autoSpaceDE w:val="0"/>
        <w:autoSpaceDN w:val="0"/>
        <w:adjustRightInd w:val="0"/>
        <w:spacing w:line="700" w:lineRule="exact"/>
        <w:ind w:left="638" w:leftChars="304" w:right="164"/>
        <w:jc w:val="left"/>
        <w:rPr>
          <w:rFonts w:ascii="仿宋" w:hAnsi="仿宋" w:eastAsia="仿宋" w:cs="宋体"/>
          <w:color w:val="000001"/>
          <w:sz w:val="32"/>
          <w:szCs w:val="32"/>
          <w:lang w:val="zh-CN"/>
        </w:rPr>
      </w:pPr>
      <w:r>
        <w:rPr>
          <w:rFonts w:hint="eastAsia" w:ascii="仿宋" w:hAnsi="仿宋" w:eastAsia="仿宋" w:cs="宋体"/>
          <w:color w:val="111213"/>
          <w:sz w:val="32"/>
          <w:szCs w:val="32"/>
          <w:lang w:val="zh-CN"/>
        </w:rPr>
        <w:t>七</w:t>
      </w:r>
      <w:r>
        <w:rPr>
          <w:rFonts w:hint="eastAsia" w:ascii="仿宋" w:hAnsi="仿宋" w:eastAsia="仿宋" w:cs="宋体"/>
          <w:color w:val="000001"/>
          <w:sz w:val="32"/>
          <w:szCs w:val="32"/>
          <w:lang w:val="zh-CN"/>
        </w:rPr>
        <w:t>、一</w:t>
      </w:r>
      <w:r>
        <w:rPr>
          <w:rFonts w:hint="eastAsia" w:ascii="仿宋" w:hAnsi="仿宋" w:eastAsia="仿宋" w:cs="宋体"/>
          <w:color w:val="262728"/>
          <w:sz w:val="32"/>
          <w:szCs w:val="32"/>
          <w:lang w:val="zh-CN"/>
        </w:rPr>
        <w:t>般</w:t>
      </w:r>
      <w:r>
        <w:rPr>
          <w:rFonts w:hint="eastAsia" w:ascii="仿宋" w:hAnsi="仿宋" w:eastAsia="仿宋" w:cs="宋体"/>
          <w:color w:val="434544"/>
          <w:sz w:val="32"/>
          <w:szCs w:val="32"/>
          <w:lang w:val="zh-CN"/>
        </w:rPr>
        <w:t>公</w:t>
      </w:r>
      <w:r>
        <w:rPr>
          <w:rFonts w:hint="eastAsia" w:ascii="仿宋" w:hAnsi="仿宋" w:eastAsia="仿宋" w:cs="宋体"/>
          <w:color w:val="262728"/>
          <w:sz w:val="32"/>
          <w:szCs w:val="32"/>
          <w:lang w:val="zh-CN"/>
        </w:rPr>
        <w:t>共预算财政拨款“三公”经费支出决算表</w:t>
      </w:r>
    </w:p>
    <w:p>
      <w:pPr>
        <w:shd w:val="clear" w:color="auto" w:fill="FFFFFE"/>
        <w:autoSpaceDE w:val="0"/>
        <w:autoSpaceDN w:val="0"/>
        <w:adjustRightInd w:val="0"/>
        <w:spacing w:line="700" w:lineRule="exact"/>
        <w:ind w:left="638" w:leftChars="304" w:right="164"/>
        <w:jc w:val="left"/>
        <w:rPr>
          <w:rFonts w:ascii="仿宋" w:hAnsi="仿宋" w:eastAsia="仿宋" w:cs="宋体"/>
          <w:color w:val="262728"/>
          <w:sz w:val="32"/>
          <w:szCs w:val="32"/>
          <w:lang w:val="zh-CN"/>
        </w:rPr>
      </w:pPr>
      <w:r>
        <w:rPr>
          <w:rFonts w:hint="eastAsia" w:ascii="仿宋" w:hAnsi="仿宋" w:eastAsia="仿宋" w:cs="宋体"/>
          <w:color w:val="111213"/>
          <w:sz w:val="32"/>
          <w:szCs w:val="32"/>
          <w:lang w:val="zh-CN"/>
        </w:rPr>
        <w:t>八、政府</w:t>
      </w:r>
      <w:r>
        <w:rPr>
          <w:rFonts w:hint="eastAsia" w:ascii="仿宋" w:hAnsi="仿宋" w:eastAsia="仿宋" w:cs="宋体"/>
          <w:color w:val="262728"/>
          <w:sz w:val="32"/>
          <w:szCs w:val="32"/>
          <w:lang w:val="zh-CN"/>
        </w:rPr>
        <w:t>性基金预算财政拨款收入</w:t>
      </w:r>
      <w:r>
        <w:rPr>
          <w:rFonts w:hint="eastAsia" w:ascii="仿宋" w:hAnsi="仿宋" w:eastAsia="仿宋" w:cs="宋体"/>
          <w:color w:val="111213"/>
          <w:sz w:val="32"/>
          <w:szCs w:val="32"/>
          <w:lang w:val="zh-CN"/>
        </w:rPr>
        <w:t>支</w:t>
      </w:r>
      <w:r>
        <w:rPr>
          <w:rFonts w:hint="eastAsia" w:ascii="仿宋" w:hAnsi="仿宋" w:eastAsia="仿宋" w:cs="宋体"/>
          <w:color w:val="262728"/>
          <w:sz w:val="32"/>
          <w:szCs w:val="32"/>
          <w:lang w:val="zh-CN"/>
        </w:rPr>
        <w:t>出决算表</w:t>
      </w:r>
      <w:r>
        <w:rPr>
          <w:rFonts w:hint="eastAsia" w:ascii="仿宋" w:hAnsi="仿宋" w:eastAsia="仿宋" w:cs="宋体"/>
          <w:color w:val="262728"/>
          <w:sz w:val="32"/>
          <w:szCs w:val="32"/>
          <w:lang w:val="zh-CN"/>
        </w:rPr>
        <w:br w:type="textWrapping"/>
      </w:r>
      <w:r>
        <w:rPr>
          <w:rFonts w:hint="eastAsia" w:ascii="仿宋" w:hAnsi="仿宋" w:eastAsia="仿宋" w:cs="宋体"/>
          <w:color w:val="262728"/>
          <w:sz w:val="32"/>
          <w:szCs w:val="32"/>
          <w:lang w:val="zh-CN"/>
        </w:rPr>
        <w:t>九</w:t>
      </w:r>
      <w:r>
        <w:rPr>
          <w:rFonts w:hint="eastAsia" w:ascii="仿宋" w:hAnsi="仿宋" w:eastAsia="仿宋" w:cs="宋体"/>
          <w:color w:val="000001"/>
          <w:sz w:val="32"/>
          <w:szCs w:val="32"/>
          <w:lang w:val="zh-CN"/>
        </w:rPr>
        <w:t>、国</w:t>
      </w:r>
      <w:r>
        <w:rPr>
          <w:rFonts w:hint="eastAsia" w:ascii="仿宋" w:hAnsi="仿宋" w:eastAsia="仿宋" w:cs="宋体"/>
          <w:color w:val="111213"/>
          <w:sz w:val="32"/>
          <w:szCs w:val="32"/>
          <w:lang w:val="zh-CN"/>
        </w:rPr>
        <w:t>有</w:t>
      </w:r>
      <w:r>
        <w:rPr>
          <w:rFonts w:hint="eastAsia" w:ascii="仿宋" w:hAnsi="仿宋" w:eastAsia="仿宋" w:cs="宋体"/>
          <w:color w:val="262728"/>
          <w:sz w:val="32"/>
          <w:szCs w:val="32"/>
          <w:lang w:val="zh-CN"/>
        </w:rPr>
        <w:t>资本</w:t>
      </w:r>
      <w:r>
        <w:rPr>
          <w:rFonts w:hint="eastAsia" w:ascii="仿宋" w:hAnsi="仿宋" w:eastAsia="仿宋" w:cs="宋体"/>
          <w:color w:val="111213"/>
          <w:sz w:val="32"/>
          <w:szCs w:val="32"/>
          <w:lang w:val="zh-CN"/>
        </w:rPr>
        <w:t>经</w:t>
      </w:r>
      <w:r>
        <w:rPr>
          <w:rFonts w:hint="eastAsia" w:ascii="仿宋" w:hAnsi="仿宋" w:eastAsia="仿宋" w:cs="宋体"/>
          <w:color w:val="262728"/>
          <w:sz w:val="32"/>
          <w:szCs w:val="32"/>
          <w:lang w:val="zh-CN"/>
        </w:rPr>
        <w:t>营预算财政拨</w:t>
      </w:r>
      <w:r>
        <w:rPr>
          <w:rFonts w:hint="eastAsia" w:ascii="仿宋" w:hAnsi="仿宋" w:eastAsia="仿宋" w:cs="宋体"/>
          <w:color w:val="111213"/>
          <w:sz w:val="32"/>
          <w:szCs w:val="32"/>
          <w:lang w:val="zh-CN"/>
        </w:rPr>
        <w:t>款</w:t>
      </w:r>
      <w:r>
        <w:rPr>
          <w:rFonts w:hint="eastAsia" w:ascii="仿宋" w:hAnsi="仿宋" w:eastAsia="仿宋" w:cs="宋体"/>
          <w:color w:val="262728"/>
          <w:sz w:val="32"/>
          <w:szCs w:val="32"/>
          <w:lang w:val="zh-CN"/>
        </w:rPr>
        <w:t>支出决算表</w:t>
      </w:r>
      <w:r>
        <w:rPr>
          <w:rFonts w:hint="eastAsia" w:ascii="仿宋" w:hAnsi="仿宋" w:eastAsia="仿宋" w:cs="宋体"/>
          <w:color w:val="262728"/>
          <w:sz w:val="32"/>
          <w:szCs w:val="32"/>
          <w:lang w:val="zh-CN"/>
        </w:rPr>
        <w:br w:type="textWrapping"/>
      </w:r>
      <w:r>
        <w:rPr>
          <w:rFonts w:hint="eastAsia" w:ascii="仿宋" w:hAnsi="仿宋" w:eastAsia="仿宋" w:cs="宋体"/>
          <w:color w:val="111213"/>
          <w:sz w:val="32"/>
          <w:szCs w:val="32"/>
          <w:lang w:val="zh-CN"/>
        </w:rPr>
        <w:t>十</w:t>
      </w:r>
      <w:r>
        <w:rPr>
          <w:rFonts w:hint="eastAsia" w:ascii="仿宋" w:hAnsi="仿宋" w:eastAsia="仿宋" w:cs="宋体"/>
          <w:color w:val="000001"/>
          <w:sz w:val="32"/>
          <w:szCs w:val="32"/>
          <w:lang w:val="zh-CN"/>
        </w:rPr>
        <w:t>、</w:t>
      </w:r>
      <w:r>
        <w:rPr>
          <w:rFonts w:hint="eastAsia" w:ascii="仿宋" w:hAnsi="仿宋" w:eastAsia="仿宋" w:cs="宋体"/>
          <w:color w:val="111213"/>
          <w:sz w:val="32"/>
          <w:szCs w:val="32"/>
          <w:lang w:val="zh-CN"/>
        </w:rPr>
        <w:t>政</w:t>
      </w:r>
      <w:r>
        <w:rPr>
          <w:rFonts w:hint="eastAsia" w:ascii="仿宋" w:hAnsi="仿宋" w:eastAsia="仿宋" w:cs="宋体"/>
          <w:color w:val="262728"/>
          <w:sz w:val="32"/>
          <w:szCs w:val="32"/>
          <w:lang w:val="zh-CN"/>
        </w:rPr>
        <w:t>府采购</w:t>
      </w:r>
      <w:r>
        <w:rPr>
          <w:rFonts w:hint="eastAsia" w:ascii="仿宋" w:hAnsi="仿宋" w:eastAsia="仿宋" w:cs="宋体"/>
          <w:color w:val="111213"/>
          <w:sz w:val="32"/>
          <w:szCs w:val="32"/>
          <w:lang w:val="zh-CN"/>
        </w:rPr>
        <w:t>情</w:t>
      </w:r>
      <w:r>
        <w:rPr>
          <w:rFonts w:hint="eastAsia" w:ascii="仿宋" w:hAnsi="仿宋" w:eastAsia="仿宋" w:cs="宋体"/>
          <w:color w:val="262728"/>
          <w:sz w:val="32"/>
          <w:szCs w:val="32"/>
          <w:lang w:val="zh-CN"/>
        </w:rPr>
        <w:t>况表</w:t>
      </w:r>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486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top:526;height:11;width:85;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top:528;height:12;width:8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宋体"/>
          <w:sz w:val="32"/>
          <w:szCs w:val="32"/>
        </w:rPr>
        <w:t>邯郸市交通运输局</w:t>
      </w:r>
      <w:r>
        <w:rPr>
          <w:rFonts w:hint="eastAsia" w:ascii="仿宋" w:hAnsi="仿宋" w:eastAsia="仿宋" w:cs="DengXian-Regular"/>
          <w:sz w:val="32"/>
          <w:szCs w:val="32"/>
        </w:rPr>
        <w:t>2018年度收支总计（含结转和结余）282</w:t>
      </w:r>
      <w:r>
        <w:rPr>
          <w:rFonts w:hint="eastAsia" w:ascii="仿宋" w:hAnsi="仿宋" w:eastAsia="仿宋" w:cs="宋体"/>
          <w:sz w:val="32"/>
          <w:szCs w:val="32"/>
        </w:rPr>
        <w:t>982.78</w:t>
      </w:r>
      <w:r>
        <w:rPr>
          <w:rFonts w:hint="eastAsia" w:ascii="仿宋" w:hAnsi="仿宋" w:eastAsia="仿宋" w:cs="DengXian-Regular"/>
          <w:sz w:val="32"/>
          <w:szCs w:val="32"/>
        </w:rPr>
        <w:t>万元。与2017年度决算相比，收支各减少2708</w:t>
      </w:r>
      <w:r>
        <w:rPr>
          <w:rFonts w:hint="eastAsia" w:ascii="仿宋" w:hAnsi="仿宋" w:eastAsia="仿宋" w:cs="宋体"/>
          <w:sz w:val="32"/>
          <w:szCs w:val="32"/>
        </w:rPr>
        <w:t>.45</w:t>
      </w:r>
      <w:r>
        <w:rPr>
          <w:rFonts w:hint="eastAsia" w:ascii="仿宋" w:hAnsi="仿宋" w:eastAsia="仿宋" w:cs="DengXian-Regular"/>
          <w:sz w:val="32"/>
          <w:szCs w:val="32"/>
        </w:rPr>
        <w:t>万元，下降0</w:t>
      </w:r>
      <w:r>
        <w:rPr>
          <w:rFonts w:hint="eastAsia" w:ascii="仿宋" w:hAnsi="仿宋" w:eastAsia="仿宋" w:cs="宋体"/>
          <w:sz w:val="32"/>
          <w:szCs w:val="32"/>
        </w:rPr>
        <w:t>.95</w:t>
      </w:r>
      <w:r>
        <w:rPr>
          <w:rFonts w:hint="eastAsia" w:ascii="仿宋" w:hAnsi="仿宋" w:eastAsia="仿宋" w:cs="DengXian-Regular"/>
          <w:sz w:val="32"/>
          <w:szCs w:val="32"/>
        </w:rPr>
        <w:t>%，主要原因是2017年中央和省财政加大了对灾后重建项目的资金安排。</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2018年度本年收入合计177831</w:t>
      </w:r>
      <w:r>
        <w:rPr>
          <w:rFonts w:hint="eastAsia" w:ascii="仿宋" w:hAnsi="仿宋" w:eastAsia="仿宋" w:cs="宋体"/>
          <w:sz w:val="32"/>
          <w:szCs w:val="32"/>
        </w:rPr>
        <w:t>.36</w:t>
      </w:r>
      <w:r>
        <w:rPr>
          <w:rFonts w:hint="eastAsia" w:ascii="仿宋" w:hAnsi="仿宋" w:eastAsia="仿宋" w:cs="DengXian-Regular"/>
          <w:sz w:val="32"/>
          <w:szCs w:val="32"/>
        </w:rPr>
        <w:t>万元，其中：财政拨款收入174854</w:t>
      </w:r>
      <w:r>
        <w:rPr>
          <w:rFonts w:hint="eastAsia" w:ascii="仿宋" w:hAnsi="仿宋" w:eastAsia="仿宋" w:cs="宋体"/>
          <w:sz w:val="32"/>
          <w:szCs w:val="32"/>
        </w:rPr>
        <w:t>.48</w:t>
      </w:r>
      <w:r>
        <w:rPr>
          <w:rFonts w:hint="eastAsia" w:ascii="仿宋" w:hAnsi="仿宋" w:eastAsia="仿宋" w:cs="DengXian-Regular"/>
          <w:sz w:val="32"/>
          <w:szCs w:val="32"/>
        </w:rPr>
        <w:t>万元，占</w:t>
      </w:r>
      <w:r>
        <w:rPr>
          <w:rFonts w:hint="eastAsia" w:ascii="仿宋" w:hAnsi="仿宋" w:eastAsia="仿宋" w:cs="宋体"/>
          <w:sz w:val="32"/>
          <w:szCs w:val="32"/>
        </w:rPr>
        <w:t>98.33</w:t>
      </w:r>
      <w:r>
        <w:rPr>
          <w:rFonts w:hint="eastAsia" w:ascii="仿宋" w:hAnsi="仿宋" w:eastAsia="仿宋" w:cs="DengXian-Regular"/>
          <w:sz w:val="32"/>
          <w:szCs w:val="32"/>
        </w:rPr>
        <w:t>%；上级补助收入215</w:t>
      </w:r>
      <w:r>
        <w:rPr>
          <w:rFonts w:hint="eastAsia" w:ascii="仿宋" w:hAnsi="仿宋" w:eastAsia="仿宋" w:cs="宋体"/>
          <w:sz w:val="32"/>
          <w:szCs w:val="32"/>
        </w:rPr>
        <w:t>.87</w:t>
      </w:r>
      <w:r>
        <w:rPr>
          <w:rFonts w:hint="eastAsia" w:ascii="仿宋" w:hAnsi="仿宋" w:eastAsia="仿宋" w:cs="DengXian-Regular"/>
          <w:sz w:val="32"/>
          <w:szCs w:val="32"/>
        </w:rPr>
        <w:t>万元，占0</w:t>
      </w:r>
      <w:r>
        <w:rPr>
          <w:rFonts w:hint="eastAsia" w:ascii="仿宋" w:hAnsi="仿宋" w:eastAsia="仿宋" w:cs="宋体"/>
          <w:sz w:val="32"/>
          <w:szCs w:val="32"/>
        </w:rPr>
        <w:t>.12</w:t>
      </w:r>
      <w:r>
        <w:rPr>
          <w:rFonts w:hint="eastAsia" w:ascii="仿宋" w:hAnsi="仿宋" w:eastAsia="仿宋" w:cs="DengXian-Regular"/>
          <w:sz w:val="32"/>
          <w:szCs w:val="32"/>
        </w:rPr>
        <w:t>%；其他收入2761万元，占1</w:t>
      </w:r>
      <w:r>
        <w:rPr>
          <w:rFonts w:hint="eastAsia" w:ascii="仿宋" w:hAnsi="仿宋" w:eastAsia="仿宋" w:cs="宋体"/>
          <w:sz w:val="32"/>
          <w:szCs w:val="32"/>
        </w:rPr>
        <w:t>.55</w:t>
      </w:r>
      <w:r>
        <w:rPr>
          <w:rFonts w:hint="eastAsia" w:ascii="仿宋" w:hAnsi="仿宋" w:eastAsia="仿宋"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76" o:spid="_x0000_s1076" o:spt="203" style="position:absolute;left:0pt;margin-left:73.8pt;margin-top:8.3pt;height:247.35pt;width:303.05pt;z-index:251671552;mso-width-relative:page;mso-height-relative:page;" coordorigin="68,1800" coordsize="51,32442"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top:1800;height:29;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6;top:1829;height:4;width:3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pict>
          <v:shape id="_x0000_s1132" o:spid="_x0000_s1132" o:spt="202" type="#_x0000_t202" style="position:absolute;left:0pt;margin-left:195.95pt;margin-top:22.8pt;height:74.4pt;width:103.5pt;z-index:251688960;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v:path/>
            <v:fill on="f" focussize="0,0"/>
            <v:stroke on="f" joinstyle="miter"/>
            <v:imagedata o:title=""/>
            <o:lock v:ext="edit"/>
            <v:textbox style="mso-fit-shape-to-text:t;">
              <w:txbxContent>
                <w:p>
                  <w:pPr>
                    <w:jc w:val="center"/>
                    <w:rPr>
                      <w:sz w:val="28"/>
                      <w:szCs w:val="28"/>
                    </w:rPr>
                  </w:pPr>
                  <w:r>
                    <w:rPr>
                      <w:rFonts w:hint="eastAsia"/>
                      <w:sz w:val="28"/>
                      <w:szCs w:val="28"/>
                    </w:rPr>
                    <w:t>上级补助收入</w:t>
                  </w:r>
                </w:p>
                <w:p>
                  <w:pPr>
                    <w:spacing w:line="400" w:lineRule="exact"/>
                    <w:jc w:val="center"/>
                    <w:rPr>
                      <w:sz w:val="28"/>
                      <w:szCs w:val="28"/>
                    </w:rPr>
                  </w:pPr>
                  <w:r>
                    <w:rPr>
                      <w:sz w:val="28"/>
                      <w:szCs w:val="28"/>
                    </w:rPr>
                    <w:t>0.12%</w:t>
                  </w:r>
                </w:p>
              </w:txbxContent>
            </v:textbox>
          </v:shape>
        </w:pict>
      </w:r>
      <w:r>
        <w:pict>
          <v:shape id="_x0000_s1133" o:spid="_x0000_s1133" o:spt="202" type="#_x0000_t202" style="position:absolute;left:0pt;margin-left:102.95pt;margin-top:22.05pt;height:55.2pt;width:79.5pt;z-index:251687936;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v:path/>
            <v:fill on="f" focussize="0,0"/>
            <v:stroke on="f" joinstyle="miter"/>
            <v:imagedata o:title=""/>
            <o:lock v:ext="edit"/>
            <v:textbox style="mso-fit-shape-to-text:t;">
              <w:txbxContent>
                <w:p>
                  <w:pPr>
                    <w:spacing w:line="400" w:lineRule="exact"/>
                    <w:jc w:val="center"/>
                    <w:rPr>
                      <w:sz w:val="28"/>
                      <w:szCs w:val="28"/>
                    </w:rPr>
                  </w:pPr>
                  <w:r>
                    <w:rPr>
                      <w:rFonts w:hint="eastAsia" w:asciiTheme="minorHAnsi" w:hAnsiTheme="minorHAnsi" w:eastAsiaTheme="minorEastAsia" w:cstheme="minorBidi"/>
                      <w:sz w:val="28"/>
                      <w:szCs w:val="28"/>
                    </w:rPr>
                    <w:t>其他收入1.55%</w:t>
                  </w:r>
                </w:p>
              </w:txbxContent>
            </v:textbox>
          </v:shape>
        </w:pict>
      </w:r>
    </w:p>
    <w:p>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pict>
          <v:shape id="等腰三角形 9" o:spid="_x0000_s1131" o:spt="5" type="#_x0000_t5" style="position:absolute;left:0pt;margin-left:185.45pt;margin-top:14.8pt;height:150.9pt;width:11.5pt;rotation:-11267469f;z-index:251691008;v-text-anchor:middle;mso-width-relative:page;mso-height-relative:page;" fillcolor="#FFFF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SmMUA&#10;AADaAAAADwAAAGRycy9kb3ducmV2LnhtbESPQWvCQBSE74X+h+UVvNVNtYhNXUUUUfAg2oLt7TX7&#10;moRm34bdNUn99a4geBxm5htmMutMJRpyvrSs4KWfgCDOrC45V/D5sXoeg/ABWWNlmRT8k4fZ9PFh&#10;gqm2Le+pOYRcRAj7FBUUIdSplD4ryKDv25o4er/WGQxRulxqh22Em0oOkmQkDZYcFwqsaVFQ9nc4&#10;GQW7eciGa70aH3+O7fn7tdmar6VTqvfUzd9BBOrCPXxrb7SCN7heiTd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9KYxQAAANoAAAAPAAAAAAAAAAAAAAAAAJgCAABkcnMv&#10;ZG93bnJldi54bWxQSwUGAAAAAAQABAD1AAAAigMAAAAA&#10;">
            <v:path/>
            <v:fill on="t" focussize="0,0"/>
            <v:stroke weight="2pt" color="#845209" joinstyle="miter"/>
            <v:imagedata o:title=""/>
            <o:lock v:ext="edit"/>
          </v:shape>
        </w:pict>
      </w:r>
      <w:r>
        <w:rPr>
          <w:rFonts w:ascii="仿宋_GB2312" w:eastAsia="仿宋_GB2312" w:cs="DengXian-Regular"/>
          <w:sz w:val="32"/>
          <w:szCs w:val="32"/>
        </w:rPr>
        <w:pict>
          <v:shape id="等腰三角形 8" o:spid="_x0000_s1130" o:spt="5" type="#_x0000_t5" style="position:absolute;left:0pt;margin-left:169.7pt;margin-top:14.8pt;height:149.25pt;width:26.25pt;rotation:11796480f;z-index:251689984;v-text-anchor:middle;mso-width-relative:page;mso-height-relative:page;" fillcolor="#FF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PXL8A&#10;AADaAAAADwAAAGRycy9kb3ducmV2LnhtbERPy4rCMBTdC/5DuII7TWcWItUoUhiZnY8portLc6cp&#10;09zUJGr9e7MQZnk47+W6t624kw+NYwUf0wwEceV0w7WC8udrMgcRIrLG1jEpeFKA9Wo4WGKu3YMP&#10;dD/GWqQQDjkqMDF2uZShMmQxTF1HnLhf5y3GBH0ttcdHCret/MyymbTYcGow2FFhqPo73qyCXXHZ&#10;mmJnN/tTzE7X+bk0viuVGo/6zQJEpD7+i9/ub60gbU1X0g2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iQ9cvwAAANoAAAAPAAAAAAAAAAAAAAAAAJgCAABkcnMvZG93bnJl&#10;di54bWxQSwUGAAAAAAQABAD1AAAAhAMAAAAA&#10;">
            <v:path/>
            <v:fill on="t" focussize="0,0"/>
            <v:stroke weight="2pt" color="#845209" joinstyle="miter"/>
            <v:imagedata o:title=""/>
            <o:lock v:ext="edit"/>
          </v:shape>
        </w:pict>
      </w:r>
      <w:r>
        <w:rPr>
          <w:rFonts w:ascii="仿宋_GB2312" w:eastAsia="仿宋_GB2312" w:cs="DengXian-Regular"/>
          <w:sz w:val="32"/>
          <w:szCs w:val="32"/>
        </w:rPr>
        <w:pict>
          <v:shape id="椭圆 6" o:spid="_x0000_s1129" o:spt="3" type="#_x0000_t3" style="position:absolute;left:0pt;margin-left:48.95pt;margin-top:14.8pt;height:291.75pt;width:268.5pt;z-index:251659264;v-text-anchor:middle;mso-width-relative:page;mso-height-relative:page;" fillcolor="#00B0F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dUMUA&#10;AADaAAAADwAAAGRycy9kb3ducmV2LnhtbESPQWvCQBSE70L/w/IKXkQ3egglzRqagqWgB7UttrdH&#10;9jUJzb6N2VWjv94VCh6HmfmGSbPeNOJInastK5hOIhDEhdU1lwo+PxbjJxDOI2tsLJOCMznI5g+D&#10;FBNtT7yh49aXIkDYJaig8r5NpHRFRQbdxLbEwfu1nUEfZFdK3eEpwE0jZ1EUS4M1h4UKW3qtqPjb&#10;HoyCn3iRc7xejnjVuiL/esPL926v1PCxf3kG4an39/B/+10riOF2Jd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t1QxQAAANoAAAAPAAAAAAAAAAAAAAAAAJgCAABkcnMv&#10;ZG93bnJldi54bWxQSwUGAAAAAAQABAD1AAAAigMAAAAA&#10;">
            <v:path/>
            <v:fill on="t" focussize="0,0"/>
            <v:stroke weight="2pt" color="#00B0F0"/>
            <v:imagedata o:title=""/>
            <o:lock v:ext="edit"/>
          </v:shape>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
      <w:r>
        <w:pict>
          <v:shape id="_x0000_s1134" o:spid="_x0000_s1134" o:spt="202" type="#_x0000_t202" style="position:absolute;left:0pt;margin-left:145.7pt;margin-top:14.85pt;height:63.2pt;width:101.25pt;z-index:251686912;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财政拨款收入</w:t>
                  </w:r>
                </w:p>
                <w:p>
                  <w:pPr>
                    <w:spacing w:line="400" w:lineRule="exact"/>
                    <w:jc w:val="center"/>
                    <w:rPr>
                      <w:sz w:val="28"/>
                      <w:szCs w:val="28"/>
                    </w:rPr>
                  </w:pPr>
                  <w:r>
                    <w:rPr>
                      <w:rFonts w:hint="eastAsia" w:asciiTheme="minorHAnsi" w:hAnsiTheme="minorHAnsi" w:eastAsiaTheme="minorEastAsia" w:cstheme="minorBidi"/>
                      <w:sz w:val="28"/>
                      <w:szCs w:val="28"/>
                    </w:rPr>
                    <w:t>98.33%</w:t>
                  </w:r>
                </w:p>
              </w:txbxContent>
            </v:textbox>
          </v:shape>
        </w:pict>
      </w:r>
    </w:p>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2018年度本年支出合计1</w:t>
      </w:r>
      <w:r>
        <w:rPr>
          <w:rFonts w:hint="eastAsia" w:ascii="仿宋" w:hAnsi="仿宋" w:eastAsia="仿宋" w:cs="宋体"/>
          <w:sz w:val="32"/>
          <w:szCs w:val="32"/>
        </w:rPr>
        <w:t>91049.18</w:t>
      </w:r>
      <w:r>
        <w:rPr>
          <w:rFonts w:hint="eastAsia" w:ascii="仿宋" w:hAnsi="仿宋" w:eastAsia="仿宋" w:cs="DengXian-Regular"/>
          <w:sz w:val="32"/>
          <w:szCs w:val="32"/>
        </w:rPr>
        <w:t>万元，其中：基本支出24586</w:t>
      </w:r>
      <w:r>
        <w:rPr>
          <w:rFonts w:hint="eastAsia" w:ascii="仿宋" w:hAnsi="仿宋" w:eastAsia="仿宋" w:cs="宋体"/>
          <w:sz w:val="32"/>
          <w:szCs w:val="32"/>
        </w:rPr>
        <w:t>.53</w:t>
      </w:r>
      <w:r>
        <w:rPr>
          <w:rFonts w:hint="eastAsia" w:ascii="仿宋" w:hAnsi="仿宋" w:eastAsia="仿宋" w:cs="DengXian-Regular"/>
          <w:sz w:val="32"/>
          <w:szCs w:val="32"/>
        </w:rPr>
        <w:t>万元，占12</w:t>
      </w:r>
      <w:r>
        <w:rPr>
          <w:rFonts w:hint="eastAsia" w:ascii="仿宋" w:hAnsi="仿宋" w:eastAsia="仿宋" w:cs="宋体"/>
          <w:sz w:val="32"/>
          <w:szCs w:val="32"/>
        </w:rPr>
        <w:t>.87</w:t>
      </w:r>
      <w:r>
        <w:rPr>
          <w:rFonts w:hint="eastAsia" w:ascii="仿宋" w:hAnsi="仿宋" w:eastAsia="仿宋" w:cs="DengXian-Regular"/>
          <w:sz w:val="32"/>
          <w:szCs w:val="32"/>
        </w:rPr>
        <w:t>%；项目支出166462</w:t>
      </w:r>
      <w:r>
        <w:rPr>
          <w:rFonts w:hint="eastAsia" w:ascii="仿宋" w:hAnsi="仿宋" w:eastAsia="仿宋" w:cs="宋体"/>
          <w:sz w:val="32"/>
          <w:szCs w:val="32"/>
        </w:rPr>
        <w:t>.65</w:t>
      </w:r>
      <w:r>
        <w:rPr>
          <w:rFonts w:hint="eastAsia" w:ascii="仿宋" w:hAnsi="仿宋" w:eastAsia="仿宋" w:cs="DengXian-Regular"/>
          <w:sz w:val="32"/>
          <w:szCs w:val="32"/>
        </w:rPr>
        <w:t>万元，占87</w:t>
      </w:r>
      <w:r>
        <w:rPr>
          <w:rFonts w:hint="eastAsia" w:ascii="仿宋" w:hAnsi="仿宋" w:eastAsia="仿宋" w:cs="宋体"/>
          <w:sz w:val="32"/>
          <w:szCs w:val="32"/>
        </w:rPr>
        <w:t>.13</w:t>
      </w:r>
      <w:r>
        <w:rPr>
          <w:rFonts w:hint="eastAsia" w:ascii="仿宋" w:hAnsi="仿宋" w:eastAsia="仿宋" w:cs="DengXian-Regular"/>
          <w:sz w:val="32"/>
          <w:szCs w:val="32"/>
        </w:rPr>
        <w:t>%。如图所示：</w:t>
      </w: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420" w:firstLineChars="200"/>
        <w:rPr>
          <w:rFonts w:ascii="仿宋" w:hAnsi="仿宋" w:eastAsia="仿宋" w:cs="DengXian-Regular"/>
          <w:sz w:val="32"/>
          <w:szCs w:val="32"/>
        </w:rPr>
      </w:pPr>
      <w:r>
        <w:pict>
          <v:shape id="_x0000_s1137" o:spid="_x0000_s1137" o:spt="202" type="#_x0000_t202" style="position:absolute;left:0pt;margin-left:168.85pt;margin-top:22.05pt;height:55.2pt;width:79.5pt;z-index:2516940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基本支出</w:t>
                  </w:r>
                  <w:r>
                    <w:rPr>
                      <w:sz w:val="28"/>
                      <w:szCs w:val="28"/>
                    </w:rPr>
                    <w:t>12.87%</w:t>
                  </w:r>
                </w:p>
              </w:txbxContent>
            </v:textbox>
          </v:shape>
        </w:pict>
      </w:r>
    </w:p>
    <w:p>
      <w:pPr>
        <w:adjustRightInd w:val="0"/>
        <w:snapToGrid w:val="0"/>
        <w:spacing w:after="0" w:line="580" w:lineRule="exact"/>
        <w:ind w:firstLine="1260" w:firstLineChars="600"/>
        <w:rPr>
          <w:rFonts w:ascii="仿宋_GB2312" w:cs="DengXian-Regular" w:eastAsiaTheme="minorEastAsia"/>
          <w:sz w:val="32"/>
          <w:szCs w:val="32"/>
        </w:rPr>
      </w:pPr>
      <w:r>
        <w:pict>
          <v:shape id="等腰三角形 14" o:spid="_x0000_s1138" o:spt="5" type="#_x0000_t5" style="position:absolute;left:0pt;margin-left:198.5pt;margin-top:13.6pt;height:149.25pt;width:38.25pt;rotation:-11416894f;z-index:251693056;v-text-anchor:middle;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">
            <v:path/>
            <v:fill on="t" focussize="0,0"/>
            <v:stroke weight="2pt" color="#845209" joinstyle="miter"/>
            <v:imagedata o:title=""/>
            <o:lock v:ext="edit"/>
          </v:shape>
        </w:pict>
      </w:r>
      <w:r>
        <w:pict>
          <v:shape id="椭圆 1" o:spid="_x0000_s1139" o:spt="3" type="#_x0000_t3" style="position:absolute;left:0pt;margin-left:71.5pt;margin-top:12.4pt;height:291.75pt;width:268.5pt;z-index:251692032;v-text-anchor:middle;mso-width-relative:page;mso-height-relative:page;" fillcolor="#00B0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">
            <v:path/>
            <v:fill on="t" focussize="0,0"/>
            <v:stroke weight="2pt" color="#00B0F0"/>
            <v:imagedata o:title=""/>
            <o:lock v:ext="edit"/>
          </v:shape>
        </w:pict>
      </w: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5952;mso-width-relative:page;mso-height-relative:page;" coordorigin="70,1907" coordsize="46,36072"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top:1936;height:7;width:42;"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pict>
          <v:shape id="_x0000_s1136" o:spid="_x0000_s1136" o:spt="202" type="#_x0000_t202" style="position:absolute;left:0pt;margin-left:182.35pt;margin-top:21.05pt;height:55.2pt;width:101.25pt;z-index:2516951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项目支出</w:t>
                  </w:r>
                  <w:r>
                    <w:rPr>
                      <w:sz w:val="28"/>
                      <w:szCs w:val="28"/>
                    </w:rPr>
                    <w:t>87.13%</w:t>
                  </w:r>
                </w:p>
              </w:txbxContent>
            </v:textbox>
          </v:shape>
        </w:pict>
      </w:r>
      <w:r>
        <w:rPr>
          <w:sz w:val="44"/>
        </w:rPr>
        <w:pict>
          <v:group id="_x0000_s1070" o:spid="_x0000_s1070" o:spt="203" style="position:absolute;left:0pt;margin-left:-0.55pt;margin-top:29.3pt;height:43.95pt;width:301.85pt;mso-position-horizontal-relative:page;mso-position-vertical-relative:page;z-index:251677696;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top:526;height:11;width:85;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top:528;height:12;width:8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本部门2018年度财政拨款本年收入174854</w:t>
      </w:r>
      <w:r>
        <w:rPr>
          <w:rFonts w:hint="eastAsia" w:ascii="仿宋" w:hAnsi="仿宋" w:eastAsia="仿宋" w:cs="宋体"/>
          <w:sz w:val="32"/>
          <w:szCs w:val="32"/>
        </w:rPr>
        <w:t>.48</w:t>
      </w:r>
      <w:r>
        <w:rPr>
          <w:rFonts w:hint="eastAsia" w:ascii="仿宋" w:hAnsi="仿宋" w:eastAsia="仿宋" w:cs="DengXian-Regular"/>
          <w:sz w:val="32"/>
          <w:szCs w:val="32"/>
        </w:rPr>
        <w:t>万元,比2017年度减少26118</w:t>
      </w:r>
      <w:r>
        <w:rPr>
          <w:rFonts w:hint="eastAsia" w:ascii="仿宋" w:hAnsi="仿宋" w:eastAsia="仿宋" w:cs="宋体"/>
          <w:sz w:val="32"/>
          <w:szCs w:val="32"/>
        </w:rPr>
        <w:t>.47</w:t>
      </w:r>
      <w:r>
        <w:rPr>
          <w:rFonts w:hint="eastAsia" w:ascii="仿宋" w:hAnsi="仿宋" w:eastAsia="仿宋" w:cs="DengXian-Regular"/>
          <w:sz w:val="32"/>
          <w:szCs w:val="32"/>
        </w:rPr>
        <w:t>万元，降低13%，主要是2016年7月1</w:t>
      </w:r>
      <w:r>
        <w:rPr>
          <w:rFonts w:hint="eastAsia" w:ascii="仿宋" w:hAnsi="仿宋" w:eastAsia="仿宋" w:cs="宋体"/>
          <w:sz w:val="32"/>
          <w:szCs w:val="32"/>
        </w:rPr>
        <w:t>9日我市西部地区发生洪水灾害，2017年中央和省加大了对灾后重建项目的投资</w:t>
      </w:r>
      <w:r>
        <w:rPr>
          <w:rFonts w:hint="eastAsia" w:ascii="仿宋" w:hAnsi="仿宋" w:eastAsia="仿宋" w:cs="DengXian-Regular"/>
          <w:sz w:val="32"/>
          <w:szCs w:val="32"/>
        </w:rPr>
        <w:t>；本年支出187</w:t>
      </w:r>
      <w:r>
        <w:rPr>
          <w:rFonts w:hint="eastAsia" w:ascii="仿宋" w:hAnsi="仿宋" w:eastAsia="仿宋" w:cs="宋体"/>
          <w:sz w:val="32"/>
          <w:szCs w:val="32"/>
        </w:rPr>
        <w:t>945.56</w:t>
      </w:r>
      <w:r>
        <w:rPr>
          <w:rFonts w:hint="eastAsia" w:ascii="仿宋" w:hAnsi="仿宋" w:eastAsia="仿宋" w:cs="DengXian-Regular"/>
          <w:sz w:val="32"/>
          <w:szCs w:val="32"/>
        </w:rPr>
        <w:t>万元，增加727</w:t>
      </w:r>
      <w:r>
        <w:rPr>
          <w:rFonts w:hint="eastAsia" w:ascii="仿宋" w:hAnsi="仿宋" w:eastAsia="仿宋" w:cs="宋体"/>
          <w:sz w:val="32"/>
          <w:szCs w:val="32"/>
        </w:rPr>
        <w:t>9.01</w:t>
      </w:r>
      <w:r>
        <w:rPr>
          <w:rFonts w:hint="eastAsia" w:ascii="仿宋" w:hAnsi="仿宋" w:eastAsia="仿宋" w:cs="DengXian-Regular"/>
          <w:sz w:val="32"/>
          <w:szCs w:val="32"/>
        </w:rPr>
        <w:t>万元，增长4</w:t>
      </w:r>
      <w:r>
        <w:rPr>
          <w:rFonts w:hint="eastAsia" w:ascii="仿宋" w:hAnsi="仿宋" w:eastAsia="仿宋" w:cs="宋体"/>
          <w:sz w:val="32"/>
          <w:szCs w:val="32"/>
        </w:rPr>
        <w:t>.03</w:t>
      </w:r>
      <w:r>
        <w:rPr>
          <w:rFonts w:hint="eastAsia" w:ascii="仿宋" w:hAnsi="仿宋" w:eastAsia="仿宋" w:cs="DengXian-Regular"/>
          <w:sz w:val="32"/>
          <w:szCs w:val="32"/>
        </w:rPr>
        <w:t>%，主要是车辆通行费及对应专项债务收入安排的支出比去年增加21804</w:t>
      </w:r>
      <w:r>
        <w:rPr>
          <w:rFonts w:hint="eastAsia" w:ascii="仿宋" w:hAnsi="仿宋" w:eastAsia="仿宋" w:cs="宋体"/>
          <w:sz w:val="32"/>
          <w:szCs w:val="32"/>
        </w:rPr>
        <w:t>.75万元</w:t>
      </w:r>
      <w:r>
        <w:rPr>
          <w:rFonts w:hint="eastAsia" w:ascii="仿宋" w:hAnsi="仿宋" w:eastAsia="仿宋" w:cs="DengXian-Regular"/>
          <w:sz w:val="32"/>
          <w:szCs w:val="32"/>
        </w:rPr>
        <w:t>。</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其中：一般公共预算财政拨款本年收入71258</w:t>
      </w:r>
      <w:r>
        <w:rPr>
          <w:rFonts w:hint="eastAsia" w:ascii="仿宋" w:hAnsi="仿宋" w:eastAsia="仿宋" w:cs="宋体"/>
          <w:sz w:val="32"/>
          <w:szCs w:val="32"/>
        </w:rPr>
        <w:t>.43</w:t>
      </w:r>
      <w:r>
        <w:rPr>
          <w:rFonts w:hint="eastAsia" w:ascii="仿宋" w:hAnsi="仿宋" w:eastAsia="仿宋" w:cs="DengXian-Regular"/>
          <w:sz w:val="32"/>
          <w:szCs w:val="32"/>
        </w:rPr>
        <w:t>万元，比上年减少64</w:t>
      </w:r>
      <w:r>
        <w:rPr>
          <w:rFonts w:hint="eastAsia" w:ascii="仿宋" w:hAnsi="仿宋" w:eastAsia="仿宋" w:cs="宋体"/>
          <w:sz w:val="32"/>
          <w:szCs w:val="32"/>
        </w:rPr>
        <w:t>973.56</w:t>
      </w:r>
      <w:r>
        <w:rPr>
          <w:rFonts w:hint="eastAsia" w:ascii="仿宋" w:hAnsi="仿宋" w:eastAsia="仿宋" w:cs="DengXian-Regular"/>
          <w:sz w:val="32"/>
          <w:szCs w:val="32"/>
        </w:rPr>
        <w:t>万元；主要是公路水路运输收入减少3838</w:t>
      </w:r>
      <w:r>
        <w:rPr>
          <w:rFonts w:hint="eastAsia" w:ascii="仿宋" w:hAnsi="仿宋" w:eastAsia="仿宋" w:cs="宋体"/>
          <w:sz w:val="32"/>
          <w:szCs w:val="32"/>
        </w:rPr>
        <w:t>9.23万元、车辆购置税收入减少27379万元</w:t>
      </w:r>
      <w:r>
        <w:rPr>
          <w:rFonts w:hint="eastAsia" w:ascii="仿宋" w:hAnsi="仿宋" w:eastAsia="仿宋" w:cs="DengXian-Regular"/>
          <w:sz w:val="32"/>
          <w:szCs w:val="32"/>
        </w:rPr>
        <w:t>；本年支出111515</w:t>
      </w:r>
      <w:r>
        <w:rPr>
          <w:rFonts w:hint="eastAsia" w:ascii="仿宋" w:hAnsi="仿宋" w:eastAsia="仿宋" w:cs="宋体"/>
          <w:sz w:val="32"/>
          <w:szCs w:val="32"/>
        </w:rPr>
        <w:t>.12</w:t>
      </w:r>
      <w:r>
        <w:rPr>
          <w:rFonts w:hint="eastAsia" w:ascii="仿宋" w:hAnsi="仿宋" w:eastAsia="仿宋" w:cs="DengXian-Regular"/>
          <w:sz w:val="32"/>
          <w:szCs w:val="32"/>
        </w:rPr>
        <w:t>万元，比上年减少4306</w:t>
      </w:r>
      <w:r>
        <w:rPr>
          <w:rFonts w:hint="eastAsia" w:ascii="仿宋" w:hAnsi="仿宋" w:eastAsia="仿宋" w:cs="宋体"/>
          <w:sz w:val="32"/>
          <w:szCs w:val="32"/>
        </w:rPr>
        <w:t>.89</w:t>
      </w:r>
      <w:r>
        <w:rPr>
          <w:rFonts w:hint="eastAsia" w:ascii="仿宋" w:hAnsi="仿宋" w:eastAsia="仿宋" w:cs="DengXian-Regular"/>
          <w:sz w:val="32"/>
          <w:szCs w:val="32"/>
        </w:rPr>
        <w:t>万元，降低3</w:t>
      </w:r>
      <w:r>
        <w:rPr>
          <w:rFonts w:hint="eastAsia" w:ascii="仿宋" w:hAnsi="仿宋" w:eastAsia="仿宋" w:cs="宋体"/>
          <w:sz w:val="32"/>
          <w:szCs w:val="32"/>
        </w:rPr>
        <w:t>.72</w:t>
      </w:r>
      <w:r>
        <w:rPr>
          <w:rFonts w:hint="eastAsia" w:ascii="仿宋" w:hAnsi="仿宋" w:eastAsia="仿宋" w:cs="DengXian-Regular"/>
          <w:sz w:val="32"/>
          <w:szCs w:val="32"/>
        </w:rPr>
        <w:t>%，主要是2017年中央和省财政加大了对灾后重建项目的资金安排，灾后重建资金支出量大。政府性基金预算财政拨款本年收入1035</w:t>
      </w:r>
      <w:r>
        <w:rPr>
          <w:rFonts w:hint="eastAsia" w:ascii="仿宋" w:hAnsi="仿宋" w:eastAsia="仿宋" w:cs="宋体"/>
          <w:sz w:val="32"/>
          <w:szCs w:val="32"/>
        </w:rPr>
        <w:t>96.05</w:t>
      </w:r>
      <w:r>
        <w:rPr>
          <w:rFonts w:hint="eastAsia" w:ascii="仿宋" w:hAnsi="仿宋" w:eastAsia="仿宋" w:cs="DengXian-Regular"/>
          <w:sz w:val="32"/>
          <w:szCs w:val="32"/>
        </w:rPr>
        <w:t>万元，比上年增加38855</w:t>
      </w:r>
      <w:r>
        <w:rPr>
          <w:rFonts w:hint="eastAsia" w:ascii="仿宋" w:hAnsi="仿宋" w:eastAsia="仿宋" w:cs="宋体"/>
          <w:sz w:val="32"/>
          <w:szCs w:val="32"/>
        </w:rPr>
        <w:t>.1</w:t>
      </w:r>
      <w:r>
        <w:rPr>
          <w:rFonts w:hint="eastAsia" w:ascii="仿宋" w:hAnsi="仿宋" w:eastAsia="仿宋" w:cs="DengXian-Regular"/>
          <w:sz w:val="32"/>
          <w:szCs w:val="32"/>
        </w:rPr>
        <w:t>万元，增长60</w:t>
      </w:r>
      <w:r>
        <w:rPr>
          <w:rFonts w:hint="eastAsia" w:ascii="仿宋" w:hAnsi="仿宋" w:eastAsia="仿宋" w:cs="宋体"/>
          <w:sz w:val="32"/>
          <w:szCs w:val="32"/>
        </w:rPr>
        <w:t>.02</w:t>
      </w:r>
      <w:r>
        <w:rPr>
          <w:rFonts w:hint="eastAsia" w:ascii="仿宋" w:hAnsi="仿宋" w:eastAsia="仿宋" w:cs="DengXian-Regular"/>
          <w:sz w:val="32"/>
          <w:szCs w:val="32"/>
        </w:rPr>
        <w:t>%，主要原因是加强了通行费的征收管理力度；本年支出76430</w:t>
      </w:r>
      <w:r>
        <w:rPr>
          <w:rFonts w:hint="eastAsia" w:ascii="仿宋" w:hAnsi="仿宋" w:eastAsia="仿宋" w:cs="宋体"/>
          <w:sz w:val="32"/>
          <w:szCs w:val="32"/>
        </w:rPr>
        <w:t>.44</w:t>
      </w:r>
      <w:r>
        <w:rPr>
          <w:rFonts w:hint="eastAsia" w:ascii="仿宋" w:hAnsi="仿宋" w:eastAsia="仿宋" w:cs="DengXian-Regular"/>
          <w:sz w:val="32"/>
          <w:szCs w:val="32"/>
        </w:rPr>
        <w:t>万元，比上年增加11585</w:t>
      </w:r>
      <w:r>
        <w:rPr>
          <w:rFonts w:hint="eastAsia" w:ascii="仿宋" w:hAnsi="仿宋" w:eastAsia="仿宋" w:cs="宋体"/>
          <w:sz w:val="32"/>
          <w:szCs w:val="32"/>
        </w:rPr>
        <w:t>.9</w:t>
      </w:r>
      <w:r>
        <w:rPr>
          <w:rFonts w:hint="eastAsia" w:ascii="仿宋" w:hAnsi="仿宋" w:eastAsia="仿宋" w:cs="DengXian-Regular"/>
          <w:sz w:val="32"/>
          <w:szCs w:val="32"/>
        </w:rPr>
        <w:t>万元，增长17</w:t>
      </w:r>
      <w:r>
        <w:rPr>
          <w:rFonts w:hint="eastAsia" w:ascii="仿宋" w:hAnsi="仿宋" w:eastAsia="仿宋" w:cs="宋体"/>
          <w:sz w:val="32"/>
          <w:szCs w:val="32"/>
        </w:rPr>
        <w:t>.87</w:t>
      </w:r>
      <w:r>
        <w:rPr>
          <w:rFonts w:hint="eastAsia" w:ascii="仿宋" w:hAnsi="仿宋" w:eastAsia="仿宋" w:cs="DengXian-Regular"/>
          <w:sz w:val="32"/>
          <w:szCs w:val="32"/>
        </w:rPr>
        <w:t>%，主要是</w:t>
      </w:r>
      <w:r>
        <w:rPr>
          <w:rFonts w:hint="eastAsia" w:ascii="仿宋" w:hAnsi="仿宋" w:eastAsia="仿宋" w:cs="宋体"/>
          <w:sz w:val="32"/>
          <w:szCs w:val="32"/>
        </w:rPr>
        <w:t>贷款本息增加</w:t>
      </w:r>
      <w:r>
        <w:rPr>
          <w:rFonts w:hint="eastAsia" w:ascii="仿宋" w:hAnsi="仿宋" w:eastAsia="仿宋"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本部门2018年度财政拨款本年收入174854</w:t>
      </w:r>
      <w:r>
        <w:rPr>
          <w:rFonts w:hint="eastAsia" w:ascii="仿宋" w:hAnsi="仿宋" w:eastAsia="仿宋" w:cs="宋体"/>
          <w:sz w:val="32"/>
          <w:szCs w:val="32"/>
        </w:rPr>
        <w:t>.48</w:t>
      </w:r>
      <w:r>
        <w:rPr>
          <w:rFonts w:hint="eastAsia" w:ascii="仿宋" w:hAnsi="仿宋" w:eastAsia="仿宋" w:cs="DengXian-Regular"/>
          <w:sz w:val="32"/>
          <w:szCs w:val="32"/>
        </w:rPr>
        <w:t>万元，完成年初预算的84</w:t>
      </w:r>
      <w:r>
        <w:rPr>
          <w:rFonts w:hint="eastAsia" w:ascii="仿宋" w:hAnsi="仿宋" w:eastAsia="仿宋" w:cs="宋体"/>
          <w:sz w:val="32"/>
          <w:szCs w:val="32"/>
        </w:rPr>
        <w:t>9.73</w:t>
      </w:r>
      <w:r>
        <w:rPr>
          <w:rFonts w:hint="eastAsia" w:ascii="仿宋" w:hAnsi="仿宋" w:eastAsia="仿宋" w:cs="DengXian-Regular"/>
          <w:sz w:val="32"/>
          <w:szCs w:val="32"/>
        </w:rPr>
        <w:t>%,比年初预算增加154276</w:t>
      </w:r>
      <w:r>
        <w:rPr>
          <w:rFonts w:hint="eastAsia" w:ascii="仿宋" w:hAnsi="仿宋" w:eastAsia="仿宋" w:cs="宋体"/>
          <w:sz w:val="32"/>
          <w:szCs w:val="32"/>
        </w:rPr>
        <w:t>.74</w:t>
      </w:r>
      <w:r>
        <w:rPr>
          <w:rFonts w:hint="eastAsia" w:ascii="仿宋" w:hAnsi="仿宋" w:eastAsia="仿宋" w:cs="DengXian-Regular"/>
          <w:sz w:val="32"/>
          <w:szCs w:val="32"/>
        </w:rPr>
        <w:t>万元，决算数大于预算数主要原因是年初部门预算不包括专项转移支付资金；本年支出187</w:t>
      </w:r>
      <w:r>
        <w:rPr>
          <w:rFonts w:hint="eastAsia" w:ascii="仿宋" w:hAnsi="仿宋" w:eastAsia="仿宋" w:cs="宋体"/>
          <w:sz w:val="32"/>
          <w:szCs w:val="32"/>
        </w:rPr>
        <w:t>945.56</w:t>
      </w:r>
      <w:r>
        <w:rPr>
          <w:rFonts w:hint="eastAsia" w:ascii="仿宋" w:hAnsi="仿宋" w:eastAsia="仿宋" w:cs="DengXian-Regular"/>
          <w:sz w:val="32"/>
          <w:szCs w:val="32"/>
        </w:rPr>
        <w:t>万元，完成年初预算的</w:t>
      </w:r>
      <w:r>
        <w:rPr>
          <w:rFonts w:hint="eastAsia" w:ascii="仿宋" w:hAnsi="仿宋" w:eastAsia="仿宋" w:cs="宋体"/>
          <w:sz w:val="32"/>
          <w:szCs w:val="32"/>
        </w:rPr>
        <w:t>913.34</w:t>
      </w:r>
      <w:r>
        <w:rPr>
          <w:rFonts w:hint="eastAsia" w:ascii="仿宋" w:hAnsi="仿宋" w:eastAsia="仿宋" w:cs="DengXian-Regular"/>
          <w:sz w:val="32"/>
          <w:szCs w:val="32"/>
        </w:rPr>
        <w:t>%,比年初预算增加167367</w:t>
      </w:r>
      <w:r>
        <w:rPr>
          <w:rFonts w:hint="eastAsia" w:ascii="仿宋" w:hAnsi="仿宋" w:eastAsia="仿宋" w:cs="宋体"/>
          <w:sz w:val="32"/>
          <w:szCs w:val="32"/>
        </w:rPr>
        <w:t>.82</w:t>
      </w:r>
      <w:r>
        <w:rPr>
          <w:rFonts w:hint="eastAsia" w:ascii="仿宋" w:hAnsi="仿宋" w:eastAsia="仿宋" w:cs="DengXian-Regular"/>
          <w:sz w:val="32"/>
          <w:szCs w:val="32"/>
        </w:rPr>
        <w:t>万元，决算数大于预算数主要原因是年初部门预算不包括专项转移支付资金。</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其中，一般公共预算财政拨款本年收入完成年初预算764</w:t>
      </w:r>
      <w:r>
        <w:rPr>
          <w:rFonts w:hint="eastAsia" w:ascii="仿宋" w:hAnsi="仿宋" w:eastAsia="仿宋" w:cs="宋体"/>
          <w:sz w:val="32"/>
          <w:szCs w:val="32"/>
        </w:rPr>
        <w:t>.04</w:t>
      </w:r>
      <w:r>
        <w:rPr>
          <w:rFonts w:hint="eastAsia" w:ascii="仿宋" w:hAnsi="仿宋" w:eastAsia="仿宋" w:cs="DengXian-Regular"/>
          <w:sz w:val="32"/>
          <w:szCs w:val="32"/>
        </w:rPr>
        <w:t>%，比年初预算增加61</w:t>
      </w:r>
      <w:r>
        <w:rPr>
          <w:rFonts w:hint="eastAsia" w:ascii="仿宋" w:hAnsi="仿宋" w:eastAsia="仿宋" w:cs="宋体"/>
          <w:sz w:val="32"/>
          <w:szCs w:val="32"/>
        </w:rPr>
        <w:t>931.89</w:t>
      </w:r>
      <w:r>
        <w:rPr>
          <w:rFonts w:hint="eastAsia" w:ascii="仿宋" w:hAnsi="仿宋" w:eastAsia="仿宋" w:cs="DengXian-Regular"/>
          <w:sz w:val="32"/>
          <w:szCs w:val="32"/>
        </w:rPr>
        <w:t>万元，主要是年初部门预算不包括专项转移支付资金；支出完成年初预算11</w:t>
      </w:r>
      <w:r>
        <w:rPr>
          <w:rFonts w:hint="eastAsia" w:ascii="仿宋" w:hAnsi="仿宋" w:eastAsia="仿宋" w:cs="宋体"/>
          <w:sz w:val="32"/>
          <w:szCs w:val="32"/>
        </w:rPr>
        <w:t>95.68</w:t>
      </w:r>
      <w:r>
        <w:rPr>
          <w:rFonts w:hint="eastAsia" w:ascii="仿宋" w:hAnsi="仿宋" w:eastAsia="仿宋" w:cs="DengXian-Regular"/>
          <w:sz w:val="32"/>
          <w:szCs w:val="32"/>
        </w:rPr>
        <w:t>%，比年初预算增加102188</w:t>
      </w:r>
      <w:r>
        <w:rPr>
          <w:rFonts w:hint="eastAsia" w:ascii="仿宋" w:hAnsi="仿宋" w:eastAsia="仿宋" w:cs="宋体"/>
          <w:sz w:val="32"/>
          <w:szCs w:val="32"/>
        </w:rPr>
        <w:t>.58</w:t>
      </w:r>
      <w:r>
        <w:rPr>
          <w:rFonts w:hint="eastAsia" w:ascii="仿宋" w:hAnsi="仿宋" w:eastAsia="仿宋" w:cs="DengXian-Regular"/>
          <w:sz w:val="32"/>
          <w:szCs w:val="32"/>
        </w:rPr>
        <w:t>万元，主要是年初部门预算不包括专项转移支付资金。政府性基金预算财政拨款本年收入完成年初预算</w:t>
      </w:r>
      <w:r>
        <w:rPr>
          <w:rFonts w:hint="eastAsia" w:ascii="仿宋" w:hAnsi="仿宋" w:eastAsia="仿宋" w:cs="宋体"/>
          <w:sz w:val="32"/>
          <w:szCs w:val="32"/>
        </w:rPr>
        <w:t>920.76</w:t>
      </w:r>
      <w:r>
        <w:rPr>
          <w:rFonts w:hint="eastAsia" w:ascii="仿宋" w:hAnsi="仿宋" w:eastAsia="仿宋" w:cs="DengXian-Regular"/>
          <w:sz w:val="32"/>
          <w:szCs w:val="32"/>
        </w:rPr>
        <w:t>%，比年初预算增加</w:t>
      </w:r>
      <w:r>
        <w:rPr>
          <w:rFonts w:hint="eastAsia" w:ascii="仿宋" w:hAnsi="仿宋" w:eastAsia="仿宋" w:cs="宋体"/>
          <w:sz w:val="32"/>
          <w:szCs w:val="32"/>
        </w:rPr>
        <w:t>92344.85</w:t>
      </w:r>
      <w:r>
        <w:rPr>
          <w:rFonts w:hint="eastAsia" w:ascii="仿宋" w:hAnsi="仿宋" w:eastAsia="仿宋" w:cs="DengXian-Regular"/>
          <w:sz w:val="32"/>
          <w:szCs w:val="32"/>
        </w:rPr>
        <w:t>万元，主要是年初部门预算不包括专项转移支付资金；支出完成年初预算67</w:t>
      </w:r>
      <w:r>
        <w:rPr>
          <w:rFonts w:hint="eastAsia" w:ascii="仿宋" w:hAnsi="仿宋" w:eastAsia="仿宋" w:cs="宋体"/>
          <w:sz w:val="32"/>
          <w:szCs w:val="32"/>
        </w:rPr>
        <w:t>9.31</w:t>
      </w:r>
      <w:r>
        <w:rPr>
          <w:rFonts w:hint="eastAsia" w:ascii="仿宋" w:hAnsi="仿宋" w:eastAsia="仿宋" w:cs="DengXian-Regular"/>
          <w:sz w:val="32"/>
          <w:szCs w:val="32"/>
        </w:rPr>
        <w:t>%，比年初预算增加6517</w:t>
      </w:r>
      <w:r>
        <w:rPr>
          <w:rFonts w:hint="eastAsia" w:ascii="仿宋" w:hAnsi="仿宋" w:eastAsia="仿宋" w:cs="宋体"/>
          <w:sz w:val="32"/>
          <w:szCs w:val="32"/>
        </w:rPr>
        <w:t>9.24</w:t>
      </w:r>
      <w:r>
        <w:rPr>
          <w:rFonts w:hint="eastAsia" w:ascii="仿宋" w:hAnsi="仿宋" w:eastAsia="仿宋" w:cs="DengXian-Regular"/>
          <w:sz w:val="32"/>
          <w:szCs w:val="32"/>
        </w:rPr>
        <w:t>万元，主要是</w:t>
      </w:r>
      <w:r>
        <w:rPr>
          <w:rFonts w:hint="eastAsia" w:ascii="仿宋" w:hAnsi="仿宋" w:eastAsia="仿宋" w:cs="宋体"/>
          <w:sz w:val="32"/>
          <w:szCs w:val="32"/>
        </w:rPr>
        <w:t>还本付息等支出增加</w:t>
      </w:r>
      <w:r>
        <w:rPr>
          <w:rFonts w:hint="eastAsia" w:ascii="仿宋" w:hAnsi="仿宋" w:eastAsia="仿宋" w:cs="DengXian-Regular"/>
          <w:sz w:val="32"/>
          <w:szCs w:val="32"/>
        </w:rPr>
        <w:t>。</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年度财政拨款支出187</w:t>
      </w:r>
      <w:r>
        <w:rPr>
          <w:rFonts w:hint="eastAsia" w:ascii="仿宋" w:hAnsi="仿宋" w:eastAsia="仿宋" w:cs="宋体"/>
          <w:sz w:val="32"/>
          <w:szCs w:val="32"/>
        </w:rPr>
        <w:t>945.56</w:t>
      </w:r>
      <w:r>
        <w:rPr>
          <w:rFonts w:hint="eastAsia" w:ascii="仿宋" w:hAnsi="仿宋" w:eastAsia="仿宋" w:cs="DengXian-Regular"/>
          <w:sz w:val="32"/>
          <w:szCs w:val="32"/>
        </w:rPr>
        <w:t>万元，主要用于以下方面：一般公共服务（类）支出0.14万元，占0%；社会保障和就业（类）支出2813</w:t>
      </w:r>
      <w:r>
        <w:rPr>
          <w:rFonts w:hint="eastAsia" w:ascii="仿宋" w:hAnsi="仿宋" w:eastAsia="仿宋" w:cs="宋体"/>
          <w:sz w:val="32"/>
          <w:szCs w:val="32"/>
        </w:rPr>
        <w:t>.57</w:t>
      </w:r>
      <w:r>
        <w:rPr>
          <w:rFonts w:hint="eastAsia" w:ascii="仿宋" w:hAnsi="仿宋" w:eastAsia="仿宋" w:cs="DengXian-Regular"/>
          <w:sz w:val="32"/>
          <w:szCs w:val="32"/>
        </w:rPr>
        <w:t>万元，占1</w:t>
      </w:r>
      <w:r>
        <w:rPr>
          <w:rFonts w:hint="eastAsia" w:ascii="仿宋" w:hAnsi="仿宋" w:eastAsia="仿宋" w:cs="宋体"/>
          <w:sz w:val="32"/>
          <w:szCs w:val="32"/>
        </w:rPr>
        <w:t>.5</w:t>
      </w:r>
      <w:r>
        <w:rPr>
          <w:rFonts w:hint="eastAsia" w:ascii="仿宋" w:hAnsi="仿宋" w:eastAsia="仿宋" w:cs="DengXian-Regular"/>
          <w:sz w:val="32"/>
          <w:szCs w:val="32"/>
        </w:rPr>
        <w:t>%；节能环保支出14</w:t>
      </w:r>
      <w:r>
        <w:rPr>
          <w:rFonts w:hint="eastAsia" w:ascii="仿宋" w:hAnsi="仿宋" w:eastAsia="仿宋" w:cs="宋体"/>
          <w:sz w:val="32"/>
          <w:szCs w:val="32"/>
        </w:rPr>
        <w:t>9.25万元，占0.08%；城乡社区支出3591.16万元，占1.91%；交通运输支出180712.59万元，占96.15%；</w:t>
      </w:r>
      <w:r>
        <w:rPr>
          <w:rFonts w:hint="eastAsia" w:ascii="仿宋" w:hAnsi="仿宋" w:eastAsia="仿宋" w:cs="DengXian-Regular"/>
          <w:sz w:val="32"/>
          <w:szCs w:val="32"/>
        </w:rPr>
        <w:t>住房保障（类）支出678</w:t>
      </w:r>
      <w:r>
        <w:rPr>
          <w:rFonts w:hint="eastAsia" w:ascii="仿宋" w:hAnsi="仿宋" w:eastAsia="仿宋" w:cs="宋体"/>
          <w:sz w:val="32"/>
          <w:szCs w:val="32"/>
        </w:rPr>
        <w:t>.85</w:t>
      </w:r>
      <w:r>
        <w:rPr>
          <w:rFonts w:hint="eastAsia" w:ascii="仿宋" w:hAnsi="仿宋" w:eastAsia="仿宋" w:cs="DengXian-Regular"/>
          <w:sz w:val="32"/>
          <w:szCs w:val="32"/>
        </w:rPr>
        <w:t>万元，占 0</w:t>
      </w:r>
      <w:r>
        <w:rPr>
          <w:rFonts w:hint="eastAsia" w:ascii="仿宋" w:hAnsi="仿宋" w:eastAsia="仿宋" w:cs="宋体"/>
          <w:sz w:val="32"/>
          <w:szCs w:val="32"/>
        </w:rPr>
        <w:t>.36</w:t>
      </w:r>
      <w:r>
        <w:rPr>
          <w:rFonts w:hint="eastAsia" w:ascii="仿宋" w:hAnsi="仿宋" w:eastAsia="仿宋" w:cs="DengXian-Regular"/>
          <w:sz w:val="32"/>
          <w:szCs w:val="32"/>
        </w:rPr>
        <w:t>%。</w:t>
      </w:r>
    </w:p>
    <w:p>
      <w:pPr>
        <w:adjustRightInd w:val="0"/>
        <w:snapToGrid w:val="0"/>
        <w:spacing w:after="0" w:line="580" w:lineRule="exact"/>
        <w:ind w:firstLine="420" w:firstLineChars="200"/>
        <w:rPr>
          <w:rFonts w:ascii="楷体_GB2312" w:eastAsia="楷体_GB2312" w:cs="DengXian-Bold"/>
          <w:b/>
          <w:bCs/>
          <w:sz w:val="32"/>
          <w:szCs w:val="32"/>
        </w:rPr>
      </w:pPr>
      <w:r>
        <w:pict>
          <v:group id="_x0000_s1055" o:spid="_x0000_s1055" o:spt="203" style="position:absolute;left:0pt;margin-left:86.35pt;margin-top:15.9pt;height:195.05pt;width:296.35pt;z-index:-251630592;mso-width-relative:page;mso-height-relative:page;" coordorigin="69,1802" coordsize="53,38862"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top:1831;height:10;width:53;"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r>
        <w:rPr>
          <w:sz w:val="44"/>
        </w:rPr>
        <w:pict>
          <v:group id="_x0000_s1052" o:spid="_x0000_s1052" o:spt="203" style="position:absolute;left:0pt;margin-left:-0.55pt;margin-top:29.3pt;height:43.95pt;width:301.85pt;mso-position-horizontal-relative:page;mso-position-vertical-relative:page;z-index:251678720;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top:526;height:11;width:85;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top:528;height:12;width:8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年度一般公共预算财政拨款基本支出1208</w:t>
      </w:r>
      <w:r>
        <w:rPr>
          <w:rFonts w:hint="eastAsia" w:ascii="仿宋" w:hAnsi="仿宋" w:eastAsia="仿宋" w:cs="宋体"/>
          <w:sz w:val="32"/>
          <w:szCs w:val="32"/>
        </w:rPr>
        <w:t>9.32</w:t>
      </w:r>
      <w:r>
        <w:rPr>
          <w:rFonts w:hint="eastAsia" w:ascii="仿宋" w:hAnsi="仿宋" w:eastAsia="仿宋" w:cs="DengXian-Regular"/>
          <w:sz w:val="32"/>
          <w:szCs w:val="32"/>
        </w:rPr>
        <w:t>万元，其中：人员经费10884</w:t>
      </w:r>
      <w:r>
        <w:rPr>
          <w:rFonts w:hint="eastAsia" w:ascii="仿宋" w:hAnsi="仿宋" w:eastAsia="仿宋" w:cs="宋体"/>
          <w:sz w:val="32"/>
          <w:szCs w:val="32"/>
        </w:rPr>
        <w:t>.65</w:t>
      </w:r>
      <w:r>
        <w:rPr>
          <w:rFonts w:hint="eastAsia" w:ascii="仿宋" w:hAnsi="仿宋" w:eastAsia="仿宋"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1204</w:t>
      </w:r>
      <w:r>
        <w:rPr>
          <w:rFonts w:hint="eastAsia" w:ascii="仿宋" w:hAnsi="仿宋" w:eastAsia="仿宋" w:cs="宋体"/>
          <w:sz w:val="32"/>
          <w:szCs w:val="32"/>
        </w:rPr>
        <w:t>.67</w:t>
      </w:r>
      <w:r>
        <w:rPr>
          <w:rFonts w:hint="eastAsia" w:ascii="仿宋" w:hAnsi="仿宋" w:eastAsia="仿宋"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 “三公”经费支出共计86</w:t>
      </w:r>
      <w:r>
        <w:rPr>
          <w:rFonts w:hint="eastAsia" w:ascii="仿宋" w:hAnsi="仿宋" w:eastAsia="仿宋" w:cs="宋体"/>
          <w:sz w:val="32"/>
          <w:szCs w:val="32"/>
        </w:rPr>
        <w:t>.48</w:t>
      </w:r>
      <w:r>
        <w:rPr>
          <w:rFonts w:hint="eastAsia" w:ascii="仿宋" w:hAnsi="仿宋" w:eastAsia="仿宋" w:cs="DengXian-Regular"/>
          <w:sz w:val="32"/>
          <w:szCs w:val="32"/>
        </w:rPr>
        <w:t>万元，</w:t>
      </w:r>
      <w:r>
        <w:rPr>
          <w:rFonts w:hint="eastAsia" w:ascii="仿宋" w:hAnsi="仿宋" w:eastAsia="仿宋" w:cs="DengXian-Regular"/>
          <w:b/>
          <w:bCs/>
          <w:sz w:val="32"/>
          <w:szCs w:val="32"/>
        </w:rPr>
        <w:t>较年初预算减少38</w:t>
      </w:r>
      <w:r>
        <w:rPr>
          <w:rFonts w:hint="eastAsia" w:ascii="仿宋" w:hAnsi="仿宋" w:eastAsia="仿宋" w:cs="宋体"/>
          <w:b/>
          <w:bCs/>
          <w:sz w:val="32"/>
          <w:szCs w:val="32"/>
        </w:rPr>
        <w:t>.25</w:t>
      </w:r>
      <w:r>
        <w:rPr>
          <w:rFonts w:hint="eastAsia" w:ascii="仿宋" w:hAnsi="仿宋" w:eastAsia="仿宋" w:cs="DengXian-Regular"/>
          <w:b/>
          <w:bCs/>
          <w:sz w:val="32"/>
          <w:szCs w:val="32"/>
        </w:rPr>
        <w:t>万元，降低30</w:t>
      </w:r>
      <w:r>
        <w:rPr>
          <w:rFonts w:hint="eastAsia" w:ascii="仿宋" w:hAnsi="仿宋" w:eastAsia="仿宋" w:cs="宋体"/>
          <w:b/>
          <w:bCs/>
          <w:sz w:val="32"/>
          <w:szCs w:val="32"/>
        </w:rPr>
        <w:t>.67</w:t>
      </w:r>
      <w:r>
        <w:rPr>
          <w:rFonts w:hint="eastAsia" w:ascii="仿宋" w:hAnsi="仿宋" w:eastAsia="仿宋" w:cs="DengXian-Regular"/>
          <w:b/>
          <w:bCs/>
          <w:sz w:val="32"/>
          <w:szCs w:val="32"/>
        </w:rPr>
        <w:t>%，</w:t>
      </w:r>
      <w:r>
        <w:rPr>
          <w:rFonts w:hint="eastAsia" w:ascii="仿宋" w:hAnsi="仿宋" w:eastAsia="仿宋" w:cs="DengXian-Regular"/>
          <w:sz w:val="32"/>
          <w:szCs w:val="32"/>
        </w:rPr>
        <w:t>主要是认真贯彻落实中央八项规定精神和厉行节约要求，从严控制“三公”经费开支，全年实际支出与年初预算相比有所下降。具体情况如下：</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974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top:526;height:11;width:85;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top:528;height:12;width:8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 w:hAnsi="仿宋" w:eastAsia="仿宋" w:cs="DengXian-Regular"/>
          <w:sz w:val="32"/>
          <w:szCs w:val="32"/>
        </w:rPr>
        <w:t>本部门2018年度无因公出国（境）支出。与年初预算持平。</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83.99</w:t>
      </w:r>
      <w:r>
        <w:rPr>
          <w:rFonts w:hint="eastAsia" w:ascii="楷体_GB2312" w:eastAsia="楷体_GB2312" w:cs="DengXian-Bold"/>
          <w:b/>
          <w:bCs/>
          <w:sz w:val="32"/>
          <w:szCs w:val="32"/>
        </w:rPr>
        <w:t>万元。</w:t>
      </w:r>
      <w:r>
        <w:rPr>
          <w:rFonts w:hint="eastAsia" w:ascii="仿宋" w:hAnsi="仿宋" w:eastAsia="仿宋" w:cs="DengXian-Regular"/>
          <w:sz w:val="32"/>
          <w:szCs w:val="32"/>
        </w:rPr>
        <w:t>本部门2018年度公务用车购置及运行维护费较年初预算减少34</w:t>
      </w:r>
      <w:r>
        <w:rPr>
          <w:rFonts w:hint="eastAsia" w:ascii="仿宋" w:hAnsi="仿宋" w:eastAsia="仿宋" w:cs="宋体"/>
          <w:sz w:val="32"/>
          <w:szCs w:val="32"/>
        </w:rPr>
        <w:t>.34</w:t>
      </w:r>
      <w:r>
        <w:rPr>
          <w:rFonts w:hint="eastAsia" w:ascii="仿宋" w:hAnsi="仿宋" w:eastAsia="仿宋" w:cs="DengXian-Regular"/>
          <w:sz w:val="32"/>
          <w:szCs w:val="32"/>
        </w:rPr>
        <w:t>万元，降低2</w:t>
      </w:r>
      <w:r>
        <w:rPr>
          <w:rFonts w:hint="eastAsia" w:ascii="仿宋" w:hAnsi="仿宋" w:eastAsia="仿宋" w:cs="宋体"/>
          <w:sz w:val="32"/>
          <w:szCs w:val="32"/>
        </w:rPr>
        <w:t>9.02</w:t>
      </w:r>
      <w:r>
        <w:rPr>
          <w:rFonts w:hint="eastAsia" w:ascii="仿宋" w:hAnsi="仿宋" w:eastAsia="仿宋" w:cs="DengXian-Regular"/>
          <w:sz w:val="32"/>
          <w:szCs w:val="32"/>
        </w:rPr>
        <w:t>%,主要是严控“三公”经费支出，加大公务用车审批管理力度所致。</w:t>
      </w:r>
      <w:r>
        <w:rPr>
          <w:rFonts w:hint="eastAsia" w:ascii="楷体" w:hAnsi="楷体" w:eastAsia="楷体" w:cs="DengXian-Bold"/>
          <w:b/>
          <w:bCs/>
          <w:sz w:val="32"/>
          <w:szCs w:val="32"/>
        </w:rPr>
        <w:t>其中：</w:t>
      </w:r>
    </w:p>
    <w:p>
      <w:pPr>
        <w:adjustRightInd w:val="0"/>
        <w:snapToGrid w:val="0"/>
        <w:spacing w:after="0" w:line="580" w:lineRule="exact"/>
        <w:ind w:firstLine="643" w:firstLineChars="200"/>
        <w:rPr>
          <w:rFonts w:ascii="仿宋" w:hAnsi="仿宋" w:eastAsia="仿宋" w:cs="DengXian-Regular"/>
          <w:color w:val="000000" w:themeColor="text1"/>
          <w:sz w:val="32"/>
          <w:szCs w:val="32"/>
        </w:rPr>
      </w:pPr>
      <w:r>
        <w:rPr>
          <w:rFonts w:hint="eastAsia" w:ascii="楷体" w:hAnsi="楷体" w:eastAsia="楷体" w:cs="DengXian-Regular"/>
          <w:b/>
          <w:sz w:val="32"/>
          <w:szCs w:val="32"/>
        </w:rPr>
        <w:t>公务用车购置费：</w:t>
      </w:r>
      <w:r>
        <w:rPr>
          <w:rFonts w:hint="eastAsia" w:ascii="仿宋" w:hAnsi="仿宋" w:eastAsia="仿宋" w:cs="DengXian-Regular"/>
          <w:sz w:val="32"/>
          <w:szCs w:val="32"/>
        </w:rPr>
        <w:t>本部门2018年度未发生公务用车购置经费支出，</w:t>
      </w:r>
      <w:r>
        <w:rPr>
          <w:rFonts w:hint="eastAsia" w:ascii="仿宋" w:hAnsi="仿宋" w:eastAsia="仿宋" w:cs="宋体"/>
          <w:sz w:val="32"/>
          <w:szCs w:val="32"/>
        </w:rPr>
        <w:t>与年初预算持平。</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 w:hAnsi="楷体" w:eastAsia="楷体" w:cs="DengXian-Regular"/>
          <w:b/>
          <w:sz w:val="32"/>
          <w:szCs w:val="32"/>
        </w:rPr>
        <w:t>公务用车运行维护费：</w:t>
      </w:r>
      <w:r>
        <w:rPr>
          <w:rFonts w:hint="eastAsia" w:ascii="仿宋" w:hAnsi="仿宋" w:eastAsia="仿宋" w:cs="DengXian-Regular"/>
          <w:sz w:val="32"/>
          <w:szCs w:val="32"/>
        </w:rPr>
        <w:t>本部门2018年度单位公务用车保有量252辆。公车运行维护费支出较年初预算减少34</w:t>
      </w:r>
      <w:r>
        <w:rPr>
          <w:rFonts w:hint="eastAsia" w:ascii="仿宋" w:hAnsi="仿宋" w:eastAsia="仿宋" w:cs="宋体"/>
          <w:sz w:val="32"/>
          <w:szCs w:val="32"/>
        </w:rPr>
        <w:t>.34</w:t>
      </w:r>
      <w:r>
        <w:rPr>
          <w:rFonts w:hint="eastAsia" w:ascii="仿宋" w:hAnsi="仿宋" w:eastAsia="仿宋" w:cs="DengXian-Regular"/>
          <w:sz w:val="32"/>
          <w:szCs w:val="32"/>
        </w:rPr>
        <w:t>万元，降低2</w:t>
      </w:r>
      <w:r>
        <w:rPr>
          <w:rFonts w:hint="eastAsia" w:ascii="仿宋" w:hAnsi="仿宋" w:eastAsia="仿宋" w:cs="宋体"/>
          <w:sz w:val="32"/>
          <w:szCs w:val="32"/>
        </w:rPr>
        <w:t>9.02</w:t>
      </w:r>
      <w:r>
        <w:rPr>
          <w:rFonts w:hint="eastAsia" w:ascii="仿宋" w:hAnsi="仿宋" w:eastAsia="仿宋" w:cs="DengXian-Regular"/>
          <w:sz w:val="32"/>
          <w:szCs w:val="32"/>
        </w:rPr>
        <w:t>%,主要是严控“三公”经费支出，加大公务用车审批管理力度所致。</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2</w:t>
      </w:r>
      <w:r>
        <w:rPr>
          <w:rFonts w:hint="eastAsia" w:ascii="宋体" w:hAnsi="宋体" w:cs="宋体"/>
          <w:b/>
          <w:bCs/>
          <w:sz w:val="32"/>
          <w:szCs w:val="32"/>
        </w:rPr>
        <w:t>.49</w:t>
      </w:r>
      <w:r>
        <w:rPr>
          <w:rFonts w:hint="eastAsia" w:ascii="楷体_GB2312" w:eastAsia="楷体_GB2312" w:cs="DengXian-Bold"/>
          <w:b/>
          <w:bCs/>
          <w:sz w:val="32"/>
          <w:szCs w:val="32"/>
        </w:rPr>
        <w:t>万元。</w:t>
      </w:r>
      <w:r>
        <w:rPr>
          <w:rFonts w:ascii="仿宋" w:hAnsi="仿宋" w:eastAsia="仿宋"/>
          <w:sz w:val="44"/>
        </w:rPr>
        <w:pict>
          <v:group id="_x0000_s1043" o:spid="_x0000_s1043" o:spt="203" style="position:absolute;left:0pt;margin-left:-0.55pt;margin-top:29.3pt;height:43.95pt;width:301.85pt;mso-position-horizontal-relative:page;mso-position-vertical-relative:page;z-index:251680768;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top:526;height:11;width:85;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top:528;height:12;width:8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DengXian-Regular"/>
          <w:sz w:val="32"/>
          <w:szCs w:val="32"/>
        </w:rPr>
        <w:t>本部门2018年度公务接待共32批次、142人次。公务接待费支出较年初预算减少3</w:t>
      </w:r>
      <w:r>
        <w:rPr>
          <w:rFonts w:hint="eastAsia" w:ascii="仿宋" w:hAnsi="仿宋" w:eastAsia="仿宋" w:cs="宋体"/>
          <w:sz w:val="32"/>
          <w:szCs w:val="32"/>
        </w:rPr>
        <w:t>.91</w:t>
      </w:r>
      <w:r>
        <w:rPr>
          <w:rFonts w:hint="eastAsia" w:ascii="仿宋" w:hAnsi="仿宋" w:eastAsia="仿宋" w:cs="DengXian-Regular"/>
          <w:sz w:val="32"/>
          <w:szCs w:val="32"/>
        </w:rPr>
        <w:t>万元，降低61</w:t>
      </w:r>
      <w:r>
        <w:rPr>
          <w:rFonts w:hint="eastAsia" w:ascii="仿宋" w:hAnsi="仿宋" w:eastAsia="仿宋" w:cs="宋体"/>
          <w:sz w:val="32"/>
          <w:szCs w:val="32"/>
        </w:rPr>
        <w:t>.09</w:t>
      </w:r>
      <w:r>
        <w:rPr>
          <w:rFonts w:hint="eastAsia" w:ascii="仿宋" w:hAnsi="仿宋" w:eastAsia="仿宋" w:cs="DengXian-Regular"/>
          <w:sz w:val="32"/>
          <w:szCs w:val="32"/>
        </w:rPr>
        <w:t>%,主要是严控“三公”经费公务接待费审批管理力度所致。</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3" w:firstLineChars="200"/>
        <w:rPr>
          <w:rFonts w:ascii="楷体" w:hAnsi="楷体" w:eastAsia="楷体" w:cs="DengXian-Regular"/>
          <w:b/>
          <w:sz w:val="32"/>
          <w:szCs w:val="32"/>
        </w:rPr>
      </w:pPr>
      <w:r>
        <w:rPr>
          <w:rFonts w:hint="eastAsia" w:ascii="楷体" w:hAnsi="楷体" w:eastAsia="楷体" w:cs="DengXian-Regular"/>
          <w:b/>
          <w:sz w:val="32"/>
          <w:szCs w:val="32"/>
        </w:rPr>
        <w:t>（一）预算绩效管理工作开展情况。</w:t>
      </w:r>
    </w:p>
    <w:p>
      <w:pPr>
        <w:pStyle w:val="35"/>
        <w:spacing w:line="580" w:lineRule="exact"/>
        <w:ind w:firstLine="640" w:firstLineChars="200"/>
        <w:rPr>
          <w:rFonts w:ascii="仿宋" w:hAnsi="仿宋" w:eastAsia="仿宋"/>
          <w:color w:val="000000"/>
          <w:kern w:val="2"/>
          <w:sz w:val="32"/>
          <w:szCs w:val="32"/>
        </w:rPr>
      </w:pPr>
      <w:r>
        <w:rPr>
          <w:rFonts w:hint="eastAsia" w:ascii="仿宋" w:hAnsi="仿宋" w:eastAsia="仿宋"/>
          <w:color w:val="000000"/>
          <w:kern w:val="2"/>
          <w:sz w:val="32"/>
          <w:szCs w:val="32"/>
        </w:rPr>
        <w:t>按照省交通运输厅和市财政局</w:t>
      </w:r>
      <w:r>
        <w:rPr>
          <w:rFonts w:ascii="仿宋" w:hAnsi="仿宋" w:eastAsia="仿宋"/>
          <w:color w:val="000000"/>
          <w:kern w:val="2"/>
          <w:sz w:val="32"/>
          <w:szCs w:val="32"/>
        </w:rPr>
        <w:t>有关要求，</w:t>
      </w:r>
      <w:r>
        <w:rPr>
          <w:rFonts w:hint="eastAsia" w:ascii="仿宋" w:hAnsi="仿宋" w:eastAsia="仿宋"/>
          <w:color w:val="000000"/>
          <w:kern w:val="2"/>
          <w:sz w:val="32"/>
          <w:szCs w:val="32"/>
        </w:rPr>
        <w:t>对冀财建[2017]377号、冀财建[2018]165号</w:t>
      </w:r>
      <w:r>
        <w:rPr>
          <w:rFonts w:ascii="仿宋" w:hAnsi="仿宋" w:eastAsia="仿宋"/>
          <w:color w:val="000000"/>
          <w:kern w:val="2"/>
          <w:sz w:val="32"/>
          <w:szCs w:val="32"/>
        </w:rPr>
        <w:t>文件所列201</w:t>
      </w:r>
      <w:r>
        <w:rPr>
          <w:rFonts w:hint="eastAsia" w:ascii="仿宋" w:hAnsi="仿宋" w:eastAsia="仿宋"/>
          <w:color w:val="000000"/>
          <w:kern w:val="2"/>
          <w:sz w:val="32"/>
          <w:szCs w:val="32"/>
        </w:rPr>
        <w:t>8</w:t>
      </w:r>
      <w:r>
        <w:rPr>
          <w:rFonts w:ascii="仿宋" w:hAnsi="仿宋" w:eastAsia="仿宋"/>
          <w:color w:val="000000"/>
          <w:kern w:val="2"/>
          <w:sz w:val="32"/>
          <w:szCs w:val="32"/>
        </w:rPr>
        <w:t>年</w:t>
      </w:r>
      <w:r>
        <w:rPr>
          <w:rFonts w:hint="eastAsia" w:ascii="仿宋" w:hAnsi="仿宋" w:eastAsia="仿宋"/>
          <w:color w:val="000000"/>
          <w:kern w:val="2"/>
          <w:sz w:val="32"/>
          <w:szCs w:val="32"/>
        </w:rPr>
        <w:t>度</w:t>
      </w:r>
      <w:r>
        <w:rPr>
          <w:rFonts w:ascii="仿宋" w:hAnsi="仿宋" w:eastAsia="仿宋"/>
          <w:color w:val="000000"/>
          <w:kern w:val="2"/>
          <w:sz w:val="32"/>
          <w:szCs w:val="32"/>
        </w:rPr>
        <w:t>中央专项转移支付的</w:t>
      </w:r>
      <w:r>
        <w:rPr>
          <w:rFonts w:hint="eastAsia" w:ascii="仿宋" w:hAnsi="仿宋" w:eastAsia="仿宋"/>
          <w:color w:val="000000"/>
          <w:kern w:val="2"/>
          <w:sz w:val="32"/>
          <w:szCs w:val="32"/>
        </w:rPr>
        <w:t>车辆购置税收入补助地方</w:t>
      </w:r>
      <w:r>
        <w:rPr>
          <w:rFonts w:ascii="仿宋" w:hAnsi="仿宋" w:eastAsia="仿宋"/>
          <w:color w:val="000000"/>
          <w:kern w:val="2"/>
          <w:sz w:val="32"/>
          <w:szCs w:val="32"/>
        </w:rPr>
        <w:t>专项资金所涉及项目进行绩效评价，纳入本次绩效评价范围的专项包括</w:t>
      </w:r>
      <w:r>
        <w:rPr>
          <w:rFonts w:hint="eastAsia" w:ascii="仿宋" w:hAnsi="仿宋" w:eastAsia="仿宋"/>
          <w:color w:val="000000"/>
          <w:kern w:val="2"/>
          <w:sz w:val="32"/>
          <w:szCs w:val="32"/>
        </w:rPr>
        <w:t>重点项目、生命安全防护、服务区建设、农村公路路网改善、农村公路窄路基路面改造、县乡（村）道危桥改造、县乡（村）道生命安全防护</w:t>
      </w:r>
      <w:r>
        <w:rPr>
          <w:rFonts w:ascii="仿宋" w:hAnsi="仿宋" w:eastAsia="仿宋"/>
          <w:color w:val="000000"/>
          <w:kern w:val="2"/>
          <w:sz w:val="32"/>
          <w:szCs w:val="32"/>
        </w:rPr>
        <w:t>等共</w:t>
      </w:r>
      <w:r>
        <w:rPr>
          <w:rFonts w:hint="eastAsia" w:ascii="仿宋" w:hAnsi="仿宋" w:eastAsia="仿宋"/>
          <w:color w:val="000000"/>
          <w:kern w:val="2"/>
          <w:sz w:val="32"/>
          <w:szCs w:val="32"/>
        </w:rPr>
        <w:t>7</w:t>
      </w:r>
      <w:r>
        <w:rPr>
          <w:rFonts w:ascii="仿宋" w:hAnsi="仿宋" w:eastAsia="仿宋"/>
          <w:color w:val="000000"/>
          <w:kern w:val="2"/>
          <w:sz w:val="32"/>
          <w:szCs w:val="32"/>
        </w:rPr>
        <w:t>类支出</w:t>
      </w:r>
      <w:r>
        <w:rPr>
          <w:rFonts w:hint="eastAsia" w:ascii="仿宋" w:hAnsi="仿宋" w:eastAsia="仿宋"/>
          <w:color w:val="000000"/>
          <w:kern w:val="2"/>
          <w:sz w:val="32"/>
          <w:szCs w:val="32"/>
        </w:rPr>
        <w:t>32</w:t>
      </w:r>
      <w:r>
        <w:rPr>
          <w:rFonts w:ascii="仿宋" w:hAnsi="仿宋" w:eastAsia="仿宋"/>
          <w:color w:val="000000"/>
          <w:kern w:val="2"/>
          <w:sz w:val="32"/>
          <w:szCs w:val="32"/>
        </w:rPr>
        <w:t>个项目</w:t>
      </w:r>
      <w:r>
        <w:rPr>
          <w:rFonts w:hint="eastAsia" w:ascii="仿宋" w:hAnsi="仿宋" w:eastAsia="仿宋"/>
          <w:color w:val="000000"/>
          <w:kern w:val="2"/>
          <w:sz w:val="32"/>
          <w:szCs w:val="32"/>
        </w:rPr>
        <w:t>；对冀财建[2017]335号、冀财建[2017]379号、冀财建[2018]347号</w:t>
      </w:r>
      <w:r>
        <w:rPr>
          <w:rFonts w:ascii="仿宋" w:hAnsi="仿宋" w:eastAsia="仿宋"/>
          <w:color w:val="000000"/>
          <w:kern w:val="2"/>
          <w:sz w:val="32"/>
          <w:szCs w:val="32"/>
        </w:rPr>
        <w:t>文件所列201</w:t>
      </w:r>
      <w:r>
        <w:rPr>
          <w:rFonts w:hint="eastAsia" w:ascii="仿宋" w:hAnsi="仿宋" w:eastAsia="仿宋"/>
          <w:color w:val="000000"/>
          <w:kern w:val="2"/>
          <w:sz w:val="32"/>
          <w:szCs w:val="32"/>
        </w:rPr>
        <w:t>8</w:t>
      </w:r>
      <w:r>
        <w:rPr>
          <w:rFonts w:ascii="仿宋" w:hAnsi="仿宋" w:eastAsia="仿宋"/>
          <w:color w:val="000000"/>
          <w:kern w:val="2"/>
          <w:sz w:val="32"/>
          <w:szCs w:val="32"/>
        </w:rPr>
        <w:t>年</w:t>
      </w:r>
      <w:r>
        <w:rPr>
          <w:rFonts w:hint="eastAsia" w:ascii="仿宋" w:hAnsi="仿宋" w:eastAsia="仿宋"/>
          <w:color w:val="000000"/>
          <w:kern w:val="2"/>
          <w:sz w:val="32"/>
          <w:szCs w:val="32"/>
        </w:rPr>
        <w:t>度省级交通运输部门预算</w:t>
      </w:r>
      <w:r>
        <w:rPr>
          <w:rFonts w:ascii="仿宋" w:hAnsi="仿宋" w:eastAsia="仿宋"/>
          <w:color w:val="000000"/>
          <w:kern w:val="2"/>
          <w:sz w:val="32"/>
          <w:szCs w:val="32"/>
        </w:rPr>
        <w:t>(含调整和追加预算)</w:t>
      </w:r>
      <w:r>
        <w:rPr>
          <w:rFonts w:hint="eastAsia" w:ascii="仿宋" w:hAnsi="仿宋" w:eastAsia="仿宋"/>
          <w:color w:val="000000"/>
          <w:kern w:val="2"/>
          <w:sz w:val="32"/>
          <w:szCs w:val="32"/>
        </w:rPr>
        <w:t>的成品油价格和税费改革转移支付资金</w:t>
      </w:r>
      <w:r>
        <w:rPr>
          <w:rFonts w:ascii="仿宋" w:hAnsi="仿宋" w:eastAsia="仿宋"/>
          <w:color w:val="000000"/>
          <w:kern w:val="2"/>
          <w:sz w:val="32"/>
          <w:szCs w:val="32"/>
        </w:rPr>
        <w:t>所涉及项目进行绩效评价，纳入本次绩效评价范围的专项包括</w:t>
      </w:r>
      <w:r>
        <w:rPr>
          <w:rFonts w:hint="eastAsia" w:ascii="仿宋" w:hAnsi="仿宋" w:eastAsia="仿宋"/>
          <w:color w:val="000000"/>
          <w:kern w:val="2"/>
          <w:sz w:val="32"/>
          <w:szCs w:val="32"/>
        </w:rPr>
        <w:t>公路新改建、公路大中修、危桥加固、安防及标志标线、机械设备购置、公路绿化、物资储备养护、隐患整治、水毁重建、治超非现场执法、农村公路建设、农村公路以奖代补、农村公路政府购买服务等共13类支出108个项目。</w:t>
      </w:r>
    </w:p>
    <w:p>
      <w:pPr>
        <w:adjustRightInd w:val="0"/>
        <w:snapToGrid w:val="0"/>
        <w:spacing w:after="0" w:line="580" w:lineRule="exact"/>
        <w:ind w:firstLine="643" w:firstLineChars="200"/>
        <w:rPr>
          <w:rFonts w:ascii="楷体" w:hAnsi="楷体" w:eastAsia="楷体" w:cs="DengXian-Regular"/>
          <w:b/>
          <w:sz w:val="32"/>
          <w:szCs w:val="32"/>
        </w:rPr>
      </w:pPr>
      <w:r>
        <w:rPr>
          <w:rFonts w:hint="eastAsia" w:ascii="楷体" w:hAnsi="楷体" w:eastAsia="楷体" w:cs="DengXian-Regular"/>
          <w:b/>
          <w:sz w:val="32"/>
          <w:szCs w:val="32"/>
        </w:rPr>
        <w:t>（二）项目绩效自评结果。</w:t>
      </w:r>
    </w:p>
    <w:p>
      <w:pPr>
        <w:pStyle w:val="35"/>
        <w:spacing w:line="580" w:lineRule="exact"/>
        <w:ind w:firstLine="640" w:firstLineChars="200"/>
        <w:jc w:val="left"/>
        <w:rPr>
          <w:rFonts w:ascii="仿宋" w:hAnsi="仿宋" w:eastAsia="仿宋"/>
          <w:color w:val="000000"/>
          <w:kern w:val="2"/>
          <w:sz w:val="32"/>
          <w:szCs w:val="32"/>
        </w:rPr>
      </w:pPr>
      <w:r>
        <w:rPr>
          <w:rFonts w:hint="eastAsia" w:ascii="仿宋" w:hAnsi="仿宋" w:eastAsia="仿宋"/>
          <w:color w:val="000000"/>
          <w:kern w:val="2"/>
          <w:sz w:val="32"/>
          <w:szCs w:val="32"/>
        </w:rPr>
        <w:t>1、</w:t>
      </w:r>
      <w:r>
        <w:rPr>
          <w:rFonts w:ascii="仿宋" w:hAnsi="仿宋" w:eastAsia="仿宋"/>
          <w:color w:val="000000"/>
          <w:kern w:val="2"/>
          <w:sz w:val="32"/>
          <w:szCs w:val="32"/>
        </w:rPr>
        <w:t>纳入201</w:t>
      </w:r>
      <w:r>
        <w:rPr>
          <w:rFonts w:hint="eastAsia" w:ascii="仿宋" w:hAnsi="仿宋" w:eastAsia="仿宋"/>
          <w:color w:val="000000"/>
          <w:kern w:val="2"/>
          <w:sz w:val="32"/>
          <w:szCs w:val="32"/>
        </w:rPr>
        <w:t>8</w:t>
      </w:r>
      <w:r>
        <w:rPr>
          <w:rFonts w:ascii="仿宋" w:hAnsi="仿宋" w:eastAsia="仿宋"/>
          <w:color w:val="000000"/>
          <w:kern w:val="2"/>
          <w:sz w:val="32"/>
          <w:szCs w:val="32"/>
        </w:rPr>
        <w:t>年度</w:t>
      </w:r>
      <w:r>
        <w:rPr>
          <w:rFonts w:hint="eastAsia" w:ascii="仿宋" w:hAnsi="仿宋" w:eastAsia="仿宋"/>
          <w:color w:val="000000"/>
          <w:kern w:val="2"/>
          <w:sz w:val="32"/>
          <w:szCs w:val="32"/>
        </w:rPr>
        <w:t>中央专项转移支付资金绩效自评项目共计32个，其中已评项目27个，未评项目5个。</w:t>
      </w:r>
    </w:p>
    <w:p>
      <w:pPr>
        <w:pStyle w:val="35"/>
        <w:spacing w:line="580" w:lineRule="exact"/>
        <w:ind w:firstLine="640" w:firstLineChars="200"/>
        <w:jc w:val="left"/>
        <w:rPr>
          <w:rFonts w:ascii="仿宋" w:hAnsi="仿宋" w:eastAsia="仿宋"/>
          <w:color w:val="000000"/>
          <w:kern w:val="2"/>
          <w:sz w:val="32"/>
          <w:szCs w:val="32"/>
        </w:rPr>
      </w:pPr>
      <w:r>
        <w:rPr>
          <w:rFonts w:hint="eastAsia" w:ascii="仿宋" w:hAnsi="仿宋" w:eastAsia="仿宋"/>
          <w:color w:val="000000"/>
          <w:kern w:val="2"/>
          <w:sz w:val="32"/>
          <w:szCs w:val="32"/>
        </w:rPr>
        <w:t>已评项目27个共设定</w:t>
      </w:r>
      <w:r>
        <w:rPr>
          <w:rFonts w:ascii="仿宋" w:hAnsi="仿宋" w:eastAsia="仿宋"/>
          <w:color w:val="000000"/>
          <w:kern w:val="2"/>
          <w:sz w:val="32"/>
          <w:szCs w:val="32"/>
        </w:rPr>
        <w:t>201</w:t>
      </w:r>
      <w:r>
        <w:rPr>
          <w:rFonts w:hint="eastAsia" w:ascii="仿宋" w:hAnsi="仿宋" w:eastAsia="仿宋"/>
          <w:color w:val="000000"/>
          <w:kern w:val="2"/>
          <w:sz w:val="32"/>
          <w:szCs w:val="32"/>
        </w:rPr>
        <w:t>8</w:t>
      </w:r>
      <w:r>
        <w:rPr>
          <w:rFonts w:ascii="仿宋" w:hAnsi="仿宋" w:eastAsia="仿宋"/>
          <w:color w:val="000000"/>
          <w:kern w:val="2"/>
          <w:sz w:val="32"/>
          <w:szCs w:val="32"/>
        </w:rPr>
        <w:t>年项目评价指标总数</w:t>
      </w:r>
      <w:r>
        <w:rPr>
          <w:rFonts w:hint="eastAsia" w:ascii="仿宋" w:hAnsi="仿宋" w:eastAsia="仿宋"/>
          <w:color w:val="000000"/>
          <w:kern w:val="2"/>
          <w:sz w:val="32"/>
          <w:szCs w:val="32"/>
        </w:rPr>
        <w:t>197个，</w:t>
      </w:r>
      <w:r>
        <w:rPr>
          <w:rFonts w:ascii="仿宋" w:hAnsi="仿宋" w:eastAsia="仿宋"/>
          <w:color w:val="000000"/>
          <w:kern w:val="2"/>
          <w:sz w:val="32"/>
          <w:szCs w:val="32"/>
        </w:rPr>
        <w:t>评价等级为优的指标数量</w:t>
      </w:r>
      <w:r>
        <w:rPr>
          <w:rFonts w:hint="eastAsia" w:ascii="仿宋" w:hAnsi="仿宋" w:eastAsia="仿宋"/>
          <w:color w:val="000000"/>
          <w:kern w:val="2"/>
          <w:sz w:val="32"/>
          <w:szCs w:val="32"/>
        </w:rPr>
        <w:t>185</w:t>
      </w:r>
      <w:r>
        <w:rPr>
          <w:rFonts w:ascii="仿宋" w:hAnsi="仿宋" w:eastAsia="仿宋"/>
          <w:color w:val="000000"/>
          <w:kern w:val="2"/>
          <w:sz w:val="32"/>
          <w:szCs w:val="32"/>
        </w:rPr>
        <w:t>个，评优率</w:t>
      </w:r>
      <w:r>
        <w:rPr>
          <w:rFonts w:hint="eastAsia" w:ascii="仿宋" w:hAnsi="仿宋" w:eastAsia="仿宋"/>
          <w:color w:val="000000"/>
          <w:kern w:val="2"/>
          <w:sz w:val="32"/>
          <w:szCs w:val="32"/>
        </w:rPr>
        <w:t>93.91</w:t>
      </w:r>
      <w:r>
        <w:rPr>
          <w:rFonts w:ascii="仿宋" w:hAnsi="仿宋" w:eastAsia="仿宋"/>
          <w:color w:val="000000"/>
          <w:kern w:val="2"/>
          <w:sz w:val="32"/>
          <w:szCs w:val="32"/>
        </w:rPr>
        <w:t>%；评价等级为良的指标数量</w:t>
      </w:r>
      <w:r>
        <w:rPr>
          <w:rFonts w:hint="eastAsia" w:ascii="仿宋" w:hAnsi="仿宋" w:eastAsia="仿宋"/>
          <w:color w:val="000000"/>
          <w:kern w:val="2"/>
          <w:sz w:val="32"/>
          <w:szCs w:val="32"/>
        </w:rPr>
        <w:t>1</w:t>
      </w:r>
      <w:r>
        <w:rPr>
          <w:rFonts w:ascii="仿宋" w:hAnsi="仿宋" w:eastAsia="仿宋"/>
          <w:color w:val="000000"/>
          <w:kern w:val="2"/>
          <w:sz w:val="32"/>
          <w:szCs w:val="32"/>
        </w:rPr>
        <w:t>个，评良率</w:t>
      </w:r>
      <w:r>
        <w:rPr>
          <w:rFonts w:hint="eastAsia" w:ascii="仿宋" w:hAnsi="仿宋" w:eastAsia="仿宋"/>
          <w:color w:val="000000"/>
          <w:kern w:val="2"/>
          <w:sz w:val="32"/>
          <w:szCs w:val="32"/>
        </w:rPr>
        <w:t>0.51</w:t>
      </w:r>
      <w:r>
        <w:rPr>
          <w:rFonts w:ascii="仿宋" w:hAnsi="仿宋" w:eastAsia="仿宋"/>
          <w:color w:val="000000"/>
          <w:kern w:val="2"/>
          <w:sz w:val="32"/>
          <w:szCs w:val="32"/>
        </w:rPr>
        <w:t>%；评价等级为中的指标数量</w:t>
      </w:r>
      <w:r>
        <w:rPr>
          <w:rFonts w:hint="eastAsia" w:ascii="仿宋" w:hAnsi="仿宋" w:eastAsia="仿宋"/>
          <w:color w:val="000000"/>
          <w:kern w:val="2"/>
          <w:sz w:val="32"/>
          <w:szCs w:val="32"/>
        </w:rPr>
        <w:t>4</w:t>
      </w:r>
      <w:r>
        <w:rPr>
          <w:rFonts w:ascii="仿宋" w:hAnsi="仿宋" w:eastAsia="仿宋"/>
          <w:color w:val="000000"/>
          <w:kern w:val="2"/>
          <w:sz w:val="32"/>
          <w:szCs w:val="32"/>
        </w:rPr>
        <w:t>个，评中率</w:t>
      </w:r>
      <w:r>
        <w:rPr>
          <w:rFonts w:hint="eastAsia" w:ascii="仿宋" w:hAnsi="仿宋" w:eastAsia="仿宋"/>
          <w:color w:val="000000"/>
          <w:kern w:val="2"/>
          <w:sz w:val="32"/>
          <w:szCs w:val="32"/>
        </w:rPr>
        <w:t>2.03</w:t>
      </w:r>
      <w:r>
        <w:rPr>
          <w:rFonts w:ascii="仿宋" w:hAnsi="仿宋" w:eastAsia="仿宋"/>
          <w:color w:val="000000"/>
          <w:kern w:val="2"/>
          <w:sz w:val="32"/>
          <w:szCs w:val="32"/>
        </w:rPr>
        <w:t>%；评价等级为差的指标数量</w:t>
      </w:r>
      <w:r>
        <w:rPr>
          <w:rFonts w:hint="eastAsia" w:ascii="仿宋" w:hAnsi="仿宋" w:eastAsia="仿宋"/>
          <w:color w:val="000000"/>
          <w:kern w:val="2"/>
          <w:sz w:val="32"/>
          <w:szCs w:val="32"/>
        </w:rPr>
        <w:t>7</w:t>
      </w:r>
      <w:r>
        <w:rPr>
          <w:rFonts w:ascii="仿宋" w:hAnsi="仿宋" w:eastAsia="仿宋"/>
          <w:color w:val="000000"/>
          <w:kern w:val="2"/>
          <w:sz w:val="32"/>
          <w:szCs w:val="32"/>
        </w:rPr>
        <w:t>个，评差率</w:t>
      </w:r>
      <w:r>
        <w:rPr>
          <w:rFonts w:hint="eastAsia" w:ascii="仿宋" w:hAnsi="仿宋" w:eastAsia="仿宋"/>
          <w:color w:val="000000"/>
          <w:kern w:val="2"/>
          <w:sz w:val="32"/>
          <w:szCs w:val="32"/>
        </w:rPr>
        <w:t>3.55</w:t>
      </w:r>
      <w:r>
        <w:rPr>
          <w:rFonts w:ascii="仿宋" w:hAnsi="仿宋" w:eastAsia="仿宋"/>
          <w:color w:val="000000"/>
          <w:kern w:val="2"/>
          <w:sz w:val="32"/>
          <w:szCs w:val="32"/>
        </w:rPr>
        <w:t>%。项目优良率达</w:t>
      </w:r>
      <w:r>
        <w:rPr>
          <w:rFonts w:hint="eastAsia" w:ascii="仿宋" w:hAnsi="仿宋" w:eastAsia="仿宋"/>
          <w:color w:val="000000"/>
          <w:kern w:val="2"/>
          <w:sz w:val="32"/>
          <w:szCs w:val="32"/>
        </w:rPr>
        <w:t>94.42</w:t>
      </w:r>
      <w:r>
        <w:rPr>
          <w:rFonts w:ascii="仿宋" w:hAnsi="仿宋" w:eastAsia="仿宋"/>
          <w:color w:val="000000"/>
          <w:kern w:val="2"/>
          <w:sz w:val="32"/>
          <w:szCs w:val="32"/>
        </w:rPr>
        <w:t>%。</w:t>
      </w:r>
    </w:p>
    <w:p>
      <w:pPr>
        <w:pStyle w:val="35"/>
        <w:spacing w:line="580" w:lineRule="exact"/>
        <w:ind w:firstLine="640" w:firstLineChars="200"/>
        <w:jc w:val="left"/>
        <w:rPr>
          <w:rFonts w:ascii="仿宋" w:hAnsi="仿宋" w:eastAsia="仿宋"/>
          <w:color w:val="000000"/>
          <w:kern w:val="2"/>
          <w:sz w:val="32"/>
          <w:szCs w:val="32"/>
        </w:rPr>
      </w:pPr>
      <w:r>
        <w:rPr>
          <w:rFonts w:hint="eastAsia" w:ascii="仿宋" w:hAnsi="仿宋" w:eastAsia="仿宋"/>
          <w:color w:val="000000"/>
          <w:kern w:val="2"/>
          <w:sz w:val="32"/>
          <w:szCs w:val="32"/>
        </w:rPr>
        <w:t>2、</w:t>
      </w:r>
      <w:r>
        <w:rPr>
          <w:rFonts w:ascii="仿宋" w:hAnsi="仿宋" w:eastAsia="仿宋"/>
          <w:color w:val="000000"/>
          <w:kern w:val="2"/>
          <w:sz w:val="32"/>
          <w:szCs w:val="32"/>
        </w:rPr>
        <w:t>纳入201</w:t>
      </w:r>
      <w:r>
        <w:rPr>
          <w:rFonts w:hint="eastAsia" w:ascii="仿宋" w:hAnsi="仿宋" w:eastAsia="仿宋"/>
          <w:color w:val="000000"/>
          <w:kern w:val="2"/>
          <w:sz w:val="32"/>
          <w:szCs w:val="32"/>
        </w:rPr>
        <w:t>8</w:t>
      </w:r>
      <w:r>
        <w:rPr>
          <w:rFonts w:ascii="仿宋" w:hAnsi="仿宋" w:eastAsia="仿宋"/>
          <w:color w:val="000000"/>
          <w:kern w:val="2"/>
          <w:sz w:val="32"/>
          <w:szCs w:val="32"/>
        </w:rPr>
        <w:t>年度</w:t>
      </w:r>
      <w:r>
        <w:rPr>
          <w:rFonts w:hint="eastAsia" w:ascii="仿宋" w:hAnsi="仿宋" w:eastAsia="仿宋"/>
          <w:color w:val="000000"/>
          <w:kern w:val="2"/>
          <w:sz w:val="32"/>
          <w:szCs w:val="32"/>
        </w:rPr>
        <w:t>省级</w:t>
      </w:r>
      <w:r>
        <w:rPr>
          <w:rFonts w:ascii="仿宋" w:hAnsi="仿宋" w:eastAsia="仿宋"/>
          <w:color w:val="000000"/>
          <w:kern w:val="2"/>
          <w:sz w:val="32"/>
          <w:szCs w:val="32"/>
        </w:rPr>
        <w:t>财政专项资金绩效自评项目共计</w:t>
      </w:r>
      <w:r>
        <w:rPr>
          <w:rFonts w:hint="eastAsia" w:ascii="仿宋" w:hAnsi="仿宋" w:eastAsia="仿宋"/>
          <w:color w:val="000000"/>
          <w:kern w:val="2"/>
          <w:sz w:val="32"/>
          <w:szCs w:val="32"/>
        </w:rPr>
        <w:t>108</w:t>
      </w:r>
      <w:r>
        <w:rPr>
          <w:rFonts w:ascii="仿宋" w:hAnsi="仿宋" w:eastAsia="仿宋"/>
          <w:color w:val="000000"/>
          <w:kern w:val="2"/>
          <w:sz w:val="32"/>
          <w:szCs w:val="32"/>
        </w:rPr>
        <w:t>个，其中已评项目</w:t>
      </w:r>
      <w:r>
        <w:rPr>
          <w:rFonts w:hint="eastAsia" w:ascii="仿宋" w:hAnsi="仿宋" w:eastAsia="仿宋"/>
          <w:color w:val="000000"/>
          <w:kern w:val="2"/>
          <w:sz w:val="32"/>
          <w:szCs w:val="32"/>
        </w:rPr>
        <w:t>101</w:t>
      </w:r>
      <w:r>
        <w:rPr>
          <w:rFonts w:ascii="仿宋" w:hAnsi="仿宋" w:eastAsia="仿宋"/>
          <w:color w:val="000000"/>
          <w:kern w:val="2"/>
          <w:sz w:val="32"/>
          <w:szCs w:val="32"/>
        </w:rPr>
        <w:t>个，未评项目</w:t>
      </w:r>
      <w:r>
        <w:rPr>
          <w:rFonts w:hint="eastAsia" w:ascii="仿宋" w:hAnsi="仿宋" w:eastAsia="仿宋"/>
          <w:color w:val="000000"/>
          <w:kern w:val="2"/>
          <w:sz w:val="32"/>
          <w:szCs w:val="32"/>
        </w:rPr>
        <w:t>7</w:t>
      </w:r>
      <w:r>
        <w:rPr>
          <w:rFonts w:ascii="仿宋" w:hAnsi="仿宋" w:eastAsia="仿宋"/>
          <w:color w:val="000000"/>
          <w:kern w:val="2"/>
          <w:sz w:val="32"/>
          <w:szCs w:val="32"/>
        </w:rPr>
        <w:t>个。</w:t>
      </w:r>
    </w:p>
    <w:p>
      <w:pPr>
        <w:pStyle w:val="35"/>
        <w:spacing w:line="580" w:lineRule="exact"/>
        <w:ind w:firstLine="640" w:firstLineChars="200"/>
        <w:jc w:val="left"/>
        <w:rPr>
          <w:rFonts w:ascii="仿宋" w:hAnsi="仿宋" w:eastAsia="仿宋"/>
          <w:color w:val="000000"/>
          <w:kern w:val="2"/>
          <w:sz w:val="32"/>
          <w:szCs w:val="32"/>
        </w:rPr>
      </w:pPr>
      <w:r>
        <w:rPr>
          <w:rFonts w:ascii="仿宋" w:hAnsi="仿宋" w:eastAsia="仿宋"/>
          <w:color w:val="000000"/>
          <w:kern w:val="2"/>
          <w:sz w:val="32"/>
          <w:szCs w:val="32"/>
        </w:rPr>
        <w:t>已评项目</w:t>
      </w:r>
      <w:r>
        <w:rPr>
          <w:rFonts w:hint="eastAsia" w:ascii="仿宋" w:hAnsi="仿宋" w:eastAsia="仿宋"/>
          <w:color w:val="000000"/>
          <w:kern w:val="2"/>
          <w:sz w:val="32"/>
          <w:szCs w:val="32"/>
        </w:rPr>
        <w:t>101</w:t>
      </w:r>
      <w:r>
        <w:rPr>
          <w:rFonts w:ascii="仿宋" w:hAnsi="仿宋" w:eastAsia="仿宋"/>
          <w:color w:val="000000"/>
          <w:kern w:val="2"/>
          <w:sz w:val="32"/>
          <w:szCs w:val="32"/>
        </w:rPr>
        <w:t>个共设定201</w:t>
      </w:r>
      <w:r>
        <w:rPr>
          <w:rFonts w:hint="eastAsia" w:ascii="仿宋" w:hAnsi="仿宋" w:eastAsia="仿宋"/>
          <w:color w:val="000000"/>
          <w:kern w:val="2"/>
          <w:sz w:val="32"/>
          <w:szCs w:val="32"/>
        </w:rPr>
        <w:t>8</w:t>
      </w:r>
      <w:r>
        <w:rPr>
          <w:rFonts w:ascii="仿宋" w:hAnsi="仿宋" w:eastAsia="仿宋"/>
          <w:color w:val="000000"/>
          <w:kern w:val="2"/>
          <w:sz w:val="32"/>
          <w:szCs w:val="32"/>
        </w:rPr>
        <w:t>年项目评价指标总数</w:t>
      </w:r>
      <w:r>
        <w:rPr>
          <w:rFonts w:hint="eastAsia" w:ascii="仿宋" w:hAnsi="仿宋" w:eastAsia="仿宋"/>
          <w:color w:val="000000"/>
          <w:kern w:val="2"/>
          <w:sz w:val="32"/>
          <w:szCs w:val="32"/>
        </w:rPr>
        <w:t>805</w:t>
      </w:r>
      <w:r>
        <w:rPr>
          <w:rFonts w:ascii="仿宋" w:hAnsi="仿宋" w:eastAsia="仿宋"/>
          <w:color w:val="000000"/>
          <w:kern w:val="2"/>
          <w:sz w:val="32"/>
          <w:szCs w:val="32"/>
        </w:rPr>
        <w:t>个，评价等级为优的指标数量</w:t>
      </w:r>
      <w:r>
        <w:rPr>
          <w:rFonts w:hint="eastAsia" w:ascii="仿宋" w:hAnsi="仿宋" w:eastAsia="仿宋"/>
          <w:color w:val="000000"/>
          <w:kern w:val="2"/>
          <w:sz w:val="32"/>
          <w:szCs w:val="32"/>
        </w:rPr>
        <w:t>699</w:t>
      </w:r>
      <w:r>
        <w:rPr>
          <w:rFonts w:ascii="仿宋" w:hAnsi="仿宋" w:eastAsia="仿宋"/>
          <w:color w:val="000000"/>
          <w:kern w:val="2"/>
          <w:sz w:val="32"/>
          <w:szCs w:val="32"/>
        </w:rPr>
        <w:t>个，评优率</w:t>
      </w:r>
      <w:r>
        <w:rPr>
          <w:rFonts w:hint="eastAsia" w:ascii="仿宋" w:hAnsi="仿宋" w:eastAsia="仿宋"/>
          <w:color w:val="000000"/>
          <w:kern w:val="2"/>
          <w:sz w:val="32"/>
          <w:szCs w:val="32"/>
        </w:rPr>
        <w:t>86.83</w:t>
      </w:r>
      <w:r>
        <w:rPr>
          <w:rFonts w:ascii="仿宋" w:hAnsi="仿宋" w:eastAsia="仿宋"/>
          <w:color w:val="000000"/>
          <w:kern w:val="2"/>
          <w:sz w:val="32"/>
          <w:szCs w:val="32"/>
        </w:rPr>
        <w:t>%；评价等级为良的指标数量</w:t>
      </w:r>
      <w:r>
        <w:rPr>
          <w:rFonts w:hint="eastAsia" w:ascii="仿宋" w:hAnsi="仿宋" w:eastAsia="仿宋"/>
          <w:color w:val="000000"/>
          <w:kern w:val="2"/>
          <w:sz w:val="32"/>
          <w:szCs w:val="32"/>
        </w:rPr>
        <w:t>38</w:t>
      </w:r>
      <w:r>
        <w:rPr>
          <w:rFonts w:ascii="仿宋" w:hAnsi="仿宋" w:eastAsia="仿宋"/>
          <w:color w:val="000000"/>
          <w:kern w:val="2"/>
          <w:sz w:val="32"/>
          <w:szCs w:val="32"/>
        </w:rPr>
        <w:t>个，评良率</w:t>
      </w:r>
      <w:r>
        <w:rPr>
          <w:rFonts w:hint="eastAsia" w:ascii="仿宋" w:hAnsi="仿宋" w:eastAsia="仿宋"/>
          <w:color w:val="000000"/>
          <w:kern w:val="2"/>
          <w:sz w:val="32"/>
          <w:szCs w:val="32"/>
        </w:rPr>
        <w:t>4.72</w:t>
      </w:r>
      <w:r>
        <w:rPr>
          <w:rFonts w:ascii="仿宋" w:hAnsi="仿宋" w:eastAsia="仿宋"/>
          <w:color w:val="000000"/>
          <w:kern w:val="2"/>
          <w:sz w:val="32"/>
          <w:szCs w:val="32"/>
        </w:rPr>
        <w:t>%；评价等级为中的指标数量</w:t>
      </w:r>
      <w:r>
        <w:rPr>
          <w:rFonts w:hint="eastAsia" w:ascii="仿宋" w:hAnsi="仿宋" w:eastAsia="仿宋"/>
          <w:color w:val="000000"/>
          <w:kern w:val="2"/>
          <w:sz w:val="32"/>
          <w:szCs w:val="32"/>
        </w:rPr>
        <w:t>14</w:t>
      </w:r>
      <w:r>
        <w:rPr>
          <w:rFonts w:ascii="仿宋" w:hAnsi="仿宋" w:eastAsia="仿宋"/>
          <w:color w:val="000000"/>
          <w:kern w:val="2"/>
          <w:sz w:val="32"/>
          <w:szCs w:val="32"/>
        </w:rPr>
        <w:t>个，评中率</w:t>
      </w:r>
      <w:r>
        <w:rPr>
          <w:rFonts w:hint="eastAsia" w:ascii="仿宋" w:hAnsi="仿宋" w:eastAsia="仿宋"/>
          <w:color w:val="000000"/>
          <w:kern w:val="2"/>
          <w:sz w:val="32"/>
          <w:szCs w:val="32"/>
        </w:rPr>
        <w:t>1.74</w:t>
      </w:r>
      <w:r>
        <w:rPr>
          <w:rFonts w:ascii="仿宋" w:hAnsi="仿宋" w:eastAsia="仿宋"/>
          <w:color w:val="000000"/>
          <w:kern w:val="2"/>
          <w:sz w:val="32"/>
          <w:szCs w:val="32"/>
        </w:rPr>
        <w:t>%；评价等级为差的指标数量</w:t>
      </w:r>
      <w:r>
        <w:rPr>
          <w:rFonts w:hint="eastAsia" w:ascii="仿宋" w:hAnsi="仿宋" w:eastAsia="仿宋"/>
          <w:color w:val="000000"/>
          <w:kern w:val="2"/>
          <w:sz w:val="32"/>
          <w:szCs w:val="32"/>
        </w:rPr>
        <w:t>54</w:t>
      </w:r>
      <w:r>
        <w:rPr>
          <w:rFonts w:ascii="仿宋" w:hAnsi="仿宋" w:eastAsia="仿宋"/>
          <w:color w:val="000000"/>
          <w:kern w:val="2"/>
          <w:sz w:val="32"/>
          <w:szCs w:val="32"/>
        </w:rPr>
        <w:t>个，评差率</w:t>
      </w:r>
      <w:r>
        <w:rPr>
          <w:rFonts w:hint="eastAsia" w:ascii="仿宋" w:hAnsi="仿宋" w:eastAsia="仿宋"/>
          <w:color w:val="000000"/>
          <w:kern w:val="2"/>
          <w:sz w:val="32"/>
          <w:szCs w:val="32"/>
        </w:rPr>
        <w:t>6.71</w:t>
      </w:r>
      <w:r>
        <w:rPr>
          <w:rFonts w:ascii="仿宋" w:hAnsi="仿宋" w:eastAsia="仿宋"/>
          <w:color w:val="000000"/>
          <w:kern w:val="2"/>
          <w:sz w:val="32"/>
          <w:szCs w:val="32"/>
        </w:rPr>
        <w:t>%。项目优良率达</w:t>
      </w:r>
      <w:r>
        <w:rPr>
          <w:rFonts w:hint="eastAsia" w:ascii="仿宋" w:hAnsi="仿宋" w:eastAsia="仿宋"/>
          <w:color w:val="000000"/>
          <w:kern w:val="2"/>
          <w:sz w:val="32"/>
          <w:szCs w:val="32"/>
        </w:rPr>
        <w:t>91.55</w:t>
      </w:r>
      <w:r>
        <w:rPr>
          <w:rFonts w:ascii="仿宋" w:hAnsi="仿宋" w:eastAsia="仿宋"/>
          <w:color w:val="000000"/>
          <w:kern w:val="2"/>
          <w:sz w:val="32"/>
          <w:szCs w:val="32"/>
        </w:rPr>
        <w:t>%。</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 w:hAnsi="仿宋" w:eastAsia="仿宋" w:cs="宋体"/>
          <w:sz w:val="32"/>
          <w:szCs w:val="32"/>
        </w:rPr>
      </w:pPr>
      <w:r>
        <w:rPr>
          <w:rFonts w:hint="eastAsia" w:ascii="仿宋" w:hAnsi="仿宋" w:eastAsia="仿宋" w:cs="DengXian-Regular"/>
          <w:sz w:val="32"/>
          <w:szCs w:val="32"/>
        </w:rPr>
        <w:t>本部门2018年度机关运行经费支出</w:t>
      </w:r>
      <w:r>
        <w:rPr>
          <w:rFonts w:hint="eastAsia" w:ascii="仿宋" w:hAnsi="仿宋" w:eastAsia="仿宋" w:cs="宋体"/>
          <w:sz w:val="32"/>
          <w:szCs w:val="32"/>
        </w:rPr>
        <w:t>960.4</w:t>
      </w:r>
      <w:r>
        <w:rPr>
          <w:rFonts w:hint="eastAsia" w:ascii="仿宋" w:hAnsi="仿宋" w:eastAsia="仿宋" w:cs="DengXian-Regular"/>
          <w:sz w:val="32"/>
          <w:szCs w:val="32"/>
        </w:rPr>
        <w:t>万元，比年初预算数减少401</w:t>
      </w:r>
      <w:r>
        <w:rPr>
          <w:rFonts w:hint="eastAsia" w:ascii="仿宋" w:hAnsi="仿宋" w:eastAsia="仿宋" w:cs="宋体"/>
          <w:sz w:val="32"/>
          <w:szCs w:val="32"/>
        </w:rPr>
        <w:t>.5</w:t>
      </w:r>
      <w:r>
        <w:rPr>
          <w:rFonts w:hint="eastAsia" w:ascii="仿宋" w:hAnsi="仿宋" w:eastAsia="仿宋" w:cs="DengXian-Regular"/>
          <w:sz w:val="32"/>
          <w:szCs w:val="32"/>
        </w:rPr>
        <w:t>万元，降低2</w:t>
      </w:r>
      <w:r>
        <w:rPr>
          <w:rFonts w:hint="eastAsia" w:ascii="仿宋" w:hAnsi="仿宋" w:eastAsia="仿宋" w:cs="宋体"/>
          <w:sz w:val="32"/>
          <w:szCs w:val="32"/>
        </w:rPr>
        <w:t>9.48</w:t>
      </w:r>
      <w:r>
        <w:rPr>
          <w:rFonts w:hint="eastAsia" w:ascii="仿宋" w:hAnsi="仿宋" w:eastAsia="仿宋" w:cs="DengXian-Regular"/>
          <w:sz w:val="32"/>
          <w:szCs w:val="32"/>
        </w:rPr>
        <w:t>%。主要原因是</w:t>
      </w:r>
      <w:r>
        <w:rPr>
          <w:rFonts w:hint="eastAsia" w:ascii="仿宋" w:hAnsi="仿宋" w:eastAsia="仿宋" w:cs="宋体"/>
          <w:sz w:val="32"/>
          <w:szCs w:val="32"/>
        </w:rPr>
        <w:t>我部门认真贯彻落实中央</w:t>
      </w:r>
      <w:bookmarkStart w:id="0" w:name="_GoBack"/>
      <w:r>
        <w:rPr>
          <w:rFonts w:hint="eastAsia" w:ascii="仿宋" w:hAnsi="仿宋" w:eastAsia="仿宋" w:cs="宋体"/>
          <w:sz w:val="32"/>
          <w:szCs w:val="32"/>
        </w:rPr>
        <w:t>八项</w:t>
      </w:r>
      <w:bookmarkEnd w:id="0"/>
      <w:r>
        <w:rPr>
          <w:rFonts w:hint="eastAsia" w:ascii="仿宋" w:hAnsi="仿宋" w:eastAsia="仿宋" w:cs="宋体"/>
          <w:sz w:val="32"/>
          <w:szCs w:val="32"/>
        </w:rPr>
        <w:t>规定精神和厉行节约要求，从严控制“三公经费”、会议费及日常一般性经费支出。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本部门2018年度政府采购支出总额1</w:t>
      </w:r>
      <w:r>
        <w:rPr>
          <w:rFonts w:hint="eastAsia" w:ascii="仿宋" w:hAnsi="仿宋" w:eastAsia="仿宋" w:cs="宋体"/>
          <w:sz w:val="32"/>
          <w:szCs w:val="32"/>
        </w:rPr>
        <w:t>9.75</w:t>
      </w:r>
      <w:r>
        <w:rPr>
          <w:rFonts w:hint="eastAsia" w:ascii="仿宋" w:hAnsi="仿宋" w:eastAsia="仿宋" w:cs="DengXian-Regular"/>
          <w:sz w:val="32"/>
          <w:szCs w:val="32"/>
        </w:rPr>
        <w:t>万元，从采购类型来看，</w:t>
      </w:r>
      <w:r>
        <w:rPr>
          <w:rFonts w:ascii="仿宋" w:hAnsi="仿宋" w:eastAsia="仿宋" w:cs="仿宋_GB2312"/>
          <w:color w:val="000000"/>
          <w:kern w:val="0"/>
          <w:sz w:val="32"/>
          <w:szCs w:val="32"/>
        </w:rPr>
        <w:t>政府采购货物支出</w:t>
      </w:r>
      <w:r>
        <w:rPr>
          <w:rFonts w:hint="eastAsia" w:ascii="仿宋" w:hAnsi="仿宋" w:eastAsia="仿宋" w:cs="仿宋_GB2312"/>
          <w:color w:val="000000"/>
          <w:kern w:val="0"/>
          <w:sz w:val="32"/>
          <w:szCs w:val="32"/>
        </w:rPr>
        <w:t>1</w:t>
      </w:r>
      <w:r>
        <w:rPr>
          <w:rFonts w:hint="eastAsia" w:ascii="仿宋" w:hAnsi="仿宋" w:eastAsia="仿宋" w:cs="宋体"/>
          <w:color w:val="000000"/>
          <w:kern w:val="0"/>
          <w:sz w:val="32"/>
          <w:szCs w:val="32"/>
        </w:rPr>
        <w:t>9.75</w:t>
      </w:r>
      <w:r>
        <w:rPr>
          <w:rFonts w:ascii="仿宋" w:hAnsi="仿宋" w:eastAsia="仿宋" w:cs="仿宋_GB2312"/>
          <w:color w:val="000000"/>
          <w:kern w:val="0"/>
          <w:sz w:val="32"/>
          <w:szCs w:val="32"/>
        </w:rPr>
        <w:t>万元</w:t>
      </w:r>
      <w:r>
        <w:rPr>
          <w:rFonts w:hint="eastAsia" w:ascii="仿宋" w:hAnsi="仿宋" w:eastAsia="仿宋" w:cs="仿宋_GB2312"/>
          <w:color w:val="000000"/>
          <w:kern w:val="0"/>
          <w:sz w:val="32"/>
          <w:szCs w:val="32"/>
        </w:rPr>
        <w:t>、</w:t>
      </w:r>
      <w:r>
        <w:rPr>
          <w:rFonts w:ascii="仿宋" w:hAnsi="仿宋" w:eastAsia="仿宋" w:cs="仿宋_GB2312"/>
          <w:color w:val="000000"/>
          <w:kern w:val="0"/>
          <w:sz w:val="32"/>
          <w:szCs w:val="32"/>
        </w:rPr>
        <w:t>政府采购工程支出</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 xml:space="preserve">万元、政府采购服务支出 </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万元。授予中小企业合同金</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万元，占政府采购支出总额的</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其中授予小微企业合同金额</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万元，占政府采购支出总额的</w:t>
      </w:r>
      <w:r>
        <w:rPr>
          <w:rFonts w:hint="eastAsia" w:ascii="仿宋" w:hAnsi="仿宋" w:eastAsia="仿宋" w:cs="仿宋_GB2312"/>
          <w:color w:val="000000"/>
          <w:kern w:val="0"/>
          <w:sz w:val="32"/>
          <w:szCs w:val="32"/>
        </w:rPr>
        <w:t>0</w:t>
      </w:r>
      <w:r>
        <w:rPr>
          <w:rFonts w:ascii="仿宋" w:hAnsi="仿宋" w:eastAsia="仿宋"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2018年12月31日，本部门共有车辆252辆，比上年增加20辆，主要是投资管理中心（高速公路管理局）增加9辆，城郊公路养护处增加9辆，材料供应处增加2辆。其中，主要领导干部用车12辆，应急保障用车6辆，执法执勤用车4</w:t>
      </w:r>
      <w:r>
        <w:rPr>
          <w:rFonts w:hint="eastAsia" w:ascii="仿宋" w:hAnsi="仿宋" w:eastAsia="仿宋" w:cs="宋体"/>
          <w:sz w:val="32"/>
          <w:szCs w:val="32"/>
        </w:rPr>
        <w:t>9</w:t>
      </w:r>
      <w:r>
        <w:rPr>
          <w:rFonts w:hint="eastAsia" w:ascii="仿宋" w:hAnsi="仿宋" w:eastAsia="仿宋" w:cs="DengXian-Regular"/>
          <w:sz w:val="32"/>
          <w:szCs w:val="32"/>
        </w:rPr>
        <w:t>辆，离退休干部用车1辆，其他用车184辆，其他用车主要是工程用车；单位价值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万元以上通用设备3台（套），和上年一样 ，单位价值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万元以上专用设备5台（套），和上年一样。</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1、本部门2018年度国有资本经营预算财政拨款无收支及结转结余情况，故国有资本经营预算财政拨款支出决算表以空表列示。</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2、由于决算公开表格中金额数值应当保留两位小数，公开数据为四舍五入计算结</w:t>
      </w:r>
      <w:r>
        <w:rPr>
          <w:rFonts w:ascii="仿宋" w:hAnsi="仿宋" w:eastAsia="仿宋"/>
          <w:sz w:val="44"/>
        </w:rPr>
        <w:pict>
          <v:group id="_x0000_s1037" o:spid="_x0000_s1037" o:spt="203" style="position:absolute;left:0pt;margin-left:-0.55pt;margin-top:29.3pt;height:43.95pt;width:301.85pt;mso-position-horizontal-relative:page;mso-position-vertical-relative:page;z-index:251681792;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top:526;height:11;width:85;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top:528;height:12;width:8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950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848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（一）财政拨款收入：</w:t>
      </w:r>
      <w:r>
        <w:rPr>
          <w:rFonts w:hint="eastAsia" w:ascii="仿宋" w:hAnsi="仿宋" w:eastAsia="仿宋"/>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（二）事业收入：</w:t>
      </w:r>
      <w:r>
        <w:rPr>
          <w:rFonts w:hint="eastAsia" w:ascii="仿宋" w:hAnsi="仿宋" w:eastAsia="仿宋"/>
          <w:color w:val="000000"/>
          <w:kern w:val="0"/>
          <w:sz w:val="32"/>
          <w:szCs w:val="32"/>
        </w:rPr>
        <w:t>指事业单位开展专业业务活动及辅助活动所取得的收入。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（三）其他收入：</w:t>
      </w:r>
      <w:r>
        <w:rPr>
          <w:rFonts w:hint="eastAsia" w:ascii="仿宋" w:hAnsi="仿宋" w:eastAsia="仿宋"/>
          <w:color w:val="000000"/>
          <w:kern w:val="0"/>
          <w:sz w:val="32"/>
          <w:szCs w:val="32"/>
        </w:rPr>
        <w:t>指除上述“财政拨款收入”“事业收入”“经营收入”等以外的收入。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（四）用事业基金弥补收支差额：</w:t>
      </w:r>
      <w:r>
        <w:rPr>
          <w:rFonts w:hint="eastAsia" w:ascii="仿宋" w:hAnsi="仿宋" w:eastAsia="仿宋"/>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（五）年初结转和结余：</w:t>
      </w:r>
      <w:r>
        <w:rPr>
          <w:rFonts w:hint="eastAsia" w:ascii="仿宋" w:hAnsi="仿宋" w:eastAsia="仿宋"/>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（六）结余分配：</w:t>
      </w:r>
      <w:r>
        <w:rPr>
          <w:rFonts w:hint="eastAsia" w:ascii="仿宋" w:hAnsi="仿宋" w:eastAsia="仿宋"/>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（七）年末结转和结</w:t>
      </w:r>
      <w:r>
        <w:rPr>
          <w:rFonts w:ascii="仿宋" w:hAnsi="仿宋" w:eastAsia="仿宋"/>
          <w:b/>
          <w:bCs/>
          <w:color w:val="000000"/>
          <w:kern w:val="0"/>
          <w:sz w:val="32"/>
          <w:szCs w:val="32"/>
        </w:rPr>
        <w:pict>
          <v:group id="_x0000_s1033" o:spid="_x0000_s1033" o:spt="203" style="position:absolute;left:0pt;margin-left:-81.05pt;margin-top:39.65pt;height:43.95pt;width:264.85pt;mso-position-vertical-relative:page;z-index:251674624;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top:526;height:11;width:85;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top:528;height:12;width:8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 w:hAnsi="仿宋" w:eastAsia="仿宋"/>
          <w:b/>
          <w:bCs/>
          <w:color w:val="000000"/>
          <w:kern w:val="0"/>
          <w:sz w:val="32"/>
          <w:szCs w:val="32"/>
        </w:rPr>
        <w:t>余：</w:t>
      </w:r>
      <w:r>
        <w:rPr>
          <w:rFonts w:hint="eastAsia" w:ascii="仿宋" w:hAnsi="仿宋" w:eastAsia="仿宋"/>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（八）基本支出：</w:t>
      </w:r>
      <w:r>
        <w:rPr>
          <w:rFonts w:hint="eastAsia" w:ascii="仿宋" w:hAnsi="仿宋" w:eastAsia="仿宋"/>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（九）项目支出：</w:t>
      </w:r>
      <w:r>
        <w:rPr>
          <w:rFonts w:hint="eastAsia" w:ascii="仿宋" w:hAnsi="仿宋" w:eastAsia="仿宋"/>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（十）资本性支出（基本建设）：</w:t>
      </w:r>
      <w:r>
        <w:rPr>
          <w:rFonts w:hint="eastAsia" w:ascii="仿宋" w:hAnsi="仿宋" w:eastAsia="仿宋"/>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（十一）资本性支出：</w:t>
      </w:r>
      <w:r>
        <w:rPr>
          <w:rFonts w:hint="eastAsia" w:ascii="仿宋" w:hAnsi="仿宋" w:eastAsia="仿宋"/>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（十二）“三公”经费：</w:t>
      </w:r>
      <w:r>
        <w:rPr>
          <w:rFonts w:hint="eastAsia" w:ascii="仿宋" w:hAnsi="仿宋" w:eastAsia="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 w:hAnsi="仿宋" w:eastAsia="仿宋"/>
          <w:b/>
          <w:bCs/>
          <w:color w:val="000000"/>
          <w:kern w:val="0"/>
          <w:sz w:val="32"/>
          <w:szCs w:val="32"/>
        </w:rPr>
        <w:pict>
          <v:group id="_x0000_s1030" o:spid="_x0000_s1030" o:spt="203" style="position:absolute;left:0pt;margin-left:-81.05pt;margin-top:39.65pt;height:43.95pt;width:264.85pt;mso-position-vertical-relative:page;z-index:251682816;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top:526;height:11;width:85;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top:528;height:12;width:8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 w:hAnsi="仿宋" w:eastAsia="仿宋"/>
          <w:color w:val="000000"/>
          <w:kern w:val="0"/>
          <w:sz w:val="32"/>
          <w:szCs w:val="32"/>
        </w:rPr>
        <w:t>待费反映单位按规定开支的各类公务接待（含外宾接待）支出。</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（十三）其</w:t>
      </w:r>
      <w:r>
        <w:rPr>
          <w:rFonts w:ascii="仿宋" w:hAnsi="仿宋" w:eastAsia="仿宋"/>
          <w:b/>
          <w:bCs/>
          <w:color w:val="000000"/>
          <w:kern w:val="0"/>
          <w:sz w:val="32"/>
          <w:szCs w:val="32"/>
        </w:rPr>
        <w:pict>
          <v:group id="_x0000_s1027" o:spid="_x0000_s1027" o:spt="203" style="position:absolute;left:0pt;margin-left:-81.05pt;margin-top:39.65pt;height:43.95pt;width:264.85pt;mso-position-vertical-relative:page;z-index:251683840;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top:526;height:11;width:85;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top:528;height:12;width:8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 w:hAnsi="仿宋" w:eastAsia="仿宋"/>
          <w:b/>
          <w:bCs/>
          <w:color w:val="000000"/>
          <w:kern w:val="0"/>
          <w:sz w:val="32"/>
          <w:szCs w:val="32"/>
        </w:rPr>
        <w:t>他交通费用：</w:t>
      </w:r>
      <w:r>
        <w:rPr>
          <w:rFonts w:hint="eastAsia" w:ascii="仿宋" w:hAnsi="仿宋" w:eastAsia="仿宋"/>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（十四）公务用车购置：</w:t>
      </w:r>
      <w:r>
        <w:rPr>
          <w:rFonts w:hint="eastAsia" w:ascii="仿宋" w:hAnsi="仿宋" w:eastAsia="仿宋"/>
          <w:color w:val="000000"/>
          <w:kern w:val="0"/>
          <w:sz w:val="32"/>
          <w:szCs w:val="32"/>
        </w:rPr>
        <w:t>填列单位公务用车购置支出（含车辆购置税、牌照费）。</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（十五）其他交通工具购置：</w:t>
      </w:r>
      <w:r>
        <w:rPr>
          <w:rFonts w:hint="eastAsia" w:ascii="仿宋" w:hAnsi="仿宋" w:eastAsia="仿宋"/>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 w:hAnsi="仿宋" w:eastAsia="仿宋"/>
          <w:color w:val="000000"/>
          <w:kern w:val="0"/>
          <w:sz w:val="32"/>
          <w:szCs w:val="32"/>
        </w:rPr>
      </w:pPr>
      <w:r>
        <w:rPr>
          <w:rFonts w:hint="eastAsia" w:ascii="仿宋" w:hAnsi="仿宋" w:eastAsia="仿宋"/>
          <w:b/>
          <w:bCs/>
          <w:color w:val="000000"/>
          <w:kern w:val="0"/>
          <w:sz w:val="32"/>
          <w:szCs w:val="32"/>
        </w:rPr>
        <w:t>（十六）机关运行经费：</w:t>
      </w:r>
      <w:r>
        <w:rPr>
          <w:rFonts w:hint="eastAsia" w:ascii="仿宋" w:hAnsi="仿宋" w:eastAsia="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 w:hAnsi="仿宋" w:eastAsia="仿宋"/>
          <w:b/>
          <w:bCs/>
          <w:color w:val="000000"/>
          <w:kern w:val="0"/>
          <w:sz w:val="32"/>
          <w:szCs w:val="32"/>
        </w:rPr>
        <w:t>（十七）经费形式</w:t>
      </w:r>
      <w:r>
        <w:rPr>
          <w:rFonts w:hint="eastAsia" w:ascii="仿宋" w:hAnsi="仿宋" w:eastAsia="仿宋" w:cs="宋体"/>
          <w:b/>
          <w:bCs/>
          <w:color w:val="000000"/>
          <w:kern w:val="0"/>
          <w:sz w:val="32"/>
          <w:szCs w:val="32"/>
        </w:rPr>
        <w:t>:</w:t>
      </w:r>
      <w:r>
        <w:rPr>
          <w:rFonts w:hint="eastAsia" w:ascii="仿宋" w:hAnsi="仿宋" w:eastAsia="仿宋"/>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2576"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9"/>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5F1C71-1F1D-4B6B-8A9F-C093CA0F68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163D9E09-0D1D-4DA7-8BB2-B841F56C524C}"/>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3" w:fontKey="{7BFA9F9B-5C77-4A34-A29A-F199F0F385C4}"/>
  </w:font>
  <w:font w:name="仿宋_GB2312">
    <w:panose1 w:val="02010609030101010101"/>
    <w:charset w:val="86"/>
    <w:family w:val="modern"/>
    <w:pitch w:val="default"/>
    <w:sig w:usb0="00000001" w:usb1="080E0000" w:usb2="00000000" w:usb3="00000000" w:csb0="00040000" w:csb1="00000000"/>
    <w:embedRegular r:id="rId4" w:fontKey="{A1455DC6-711F-47F1-AD6C-784137E18DD6}"/>
  </w:font>
  <w:font w:name="ArialUnicodeMS">
    <w:altName w:val="Malgun Gothic"/>
    <w:panose1 w:val="00000000000000000000"/>
    <w:charset w:val="81"/>
    <w:family w:val="auto"/>
    <w:pitch w:val="default"/>
    <w:sig w:usb0="00000000" w:usb1="00000000" w:usb2="00000010" w:usb3="00000000" w:csb0="00080001" w:csb1="00000000"/>
    <w:embedRegular r:id="rId5" w:fontKey="{C5783001-BA31-4349-90B6-5656403A6828}"/>
  </w:font>
  <w:font w:name="仿宋">
    <w:panose1 w:val="02010609060101010101"/>
    <w:charset w:val="86"/>
    <w:family w:val="modern"/>
    <w:pitch w:val="default"/>
    <w:sig w:usb0="800002BF" w:usb1="38CF7CFA" w:usb2="00000016" w:usb3="00000000" w:csb0="00040001" w:csb1="00000000"/>
    <w:embedRegular r:id="rId6" w:fontKey="{81FA684E-5956-437C-93B0-DC73CAF9CB01}"/>
  </w:font>
  <w:font w:name="MS-UIGothic,Bold">
    <w:altName w:val="Malgun Gothic"/>
    <w:panose1 w:val="00000000000000000000"/>
    <w:charset w:val="81"/>
    <w:family w:val="auto"/>
    <w:pitch w:val="default"/>
    <w:sig w:usb0="00000000" w:usb1="00000000" w:usb2="00000010" w:usb3="00000000" w:csb0="00080000" w:csb1="00000000"/>
    <w:embedRegular r:id="rId7" w:fontKey="{9D30759B-F766-4729-996C-078DD1558B1E}"/>
  </w:font>
  <w:font w:name="___WRD_EMBED_SUB_40">
    <w:altName w:val="宋体"/>
    <w:panose1 w:val="02010609030101010101"/>
    <w:charset w:val="86"/>
    <w:family w:val="modern"/>
    <w:pitch w:val="default"/>
    <w:sig w:usb0="00000000" w:usb1="00000000" w:usb2="00000010" w:usb3="00000000" w:csb0="00040000" w:csb1="00000000"/>
    <w:embedRegular r:id="rId8" w:fontKey="{53C54D70-335B-42E8-A259-799738285189}"/>
  </w:font>
  <w:font w:name="DengXian-Regular">
    <w:altName w:val="宋体"/>
    <w:panose1 w:val="00000000000000000000"/>
    <w:charset w:val="86"/>
    <w:family w:val="auto"/>
    <w:pitch w:val="default"/>
    <w:sig w:usb0="00000000" w:usb1="00000000" w:usb2="00000010" w:usb3="00000000" w:csb0="00040001" w:csb1="00000000"/>
    <w:embedRegular r:id="rId9" w:fontKey="{4DBF09E0-EF3D-430D-A871-DEB2519CEE1A}"/>
  </w:font>
  <w:font w:name="楷体_GB2312">
    <w:panose1 w:val="02010609030101010101"/>
    <w:charset w:val="86"/>
    <w:family w:val="modern"/>
    <w:pitch w:val="default"/>
    <w:sig w:usb0="00000001" w:usb1="080E0000" w:usb2="00000000" w:usb3="00000000" w:csb0="00040000" w:csb1="00000000"/>
    <w:embedRegular r:id="rId10" w:fontKey="{D789EF8B-1921-4C70-AEC8-5D2F35D51B5D}"/>
  </w:font>
  <w:font w:name="DengXian-Bold">
    <w:altName w:val="宋体"/>
    <w:panose1 w:val="00000000000000000000"/>
    <w:charset w:val="86"/>
    <w:family w:val="auto"/>
    <w:pitch w:val="default"/>
    <w:sig w:usb0="00000000" w:usb1="00000000" w:usb2="00000010" w:usb3="00000000" w:csb0="00040001" w:csb1="00000000"/>
    <w:embedRegular r:id="rId11" w:fontKey="{AD90CC27-31CF-4C8E-85EA-55C58E9E905A}"/>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8F106CF"/>
    <w:multiLevelType w:val="multilevel"/>
    <w:tmpl w:val="48F106CF"/>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MjJkYTUyMTc4ODUyNTdiMDViZmYzMTg0NWY0N2YifQ=="/>
  </w:docVars>
  <w:rsids>
    <w:rsidRoot w:val="003C1413"/>
    <w:rsid w:val="000014D5"/>
    <w:rsid w:val="00024E7F"/>
    <w:rsid w:val="000475A0"/>
    <w:rsid w:val="00054C3D"/>
    <w:rsid w:val="00057E67"/>
    <w:rsid w:val="00066C0F"/>
    <w:rsid w:val="000838C3"/>
    <w:rsid w:val="000B2446"/>
    <w:rsid w:val="000D7C65"/>
    <w:rsid w:val="000E2F81"/>
    <w:rsid w:val="00117946"/>
    <w:rsid w:val="00117E2C"/>
    <w:rsid w:val="00133B35"/>
    <w:rsid w:val="00146C47"/>
    <w:rsid w:val="00150BE2"/>
    <w:rsid w:val="00152FB8"/>
    <w:rsid w:val="00164E74"/>
    <w:rsid w:val="00170A56"/>
    <w:rsid w:val="00176658"/>
    <w:rsid w:val="0018239E"/>
    <w:rsid w:val="001B3410"/>
    <w:rsid w:val="001C030D"/>
    <w:rsid w:val="001C4A84"/>
    <w:rsid w:val="001E5902"/>
    <w:rsid w:val="00233705"/>
    <w:rsid w:val="002460D5"/>
    <w:rsid w:val="00275CA2"/>
    <w:rsid w:val="002A65A5"/>
    <w:rsid w:val="002B0472"/>
    <w:rsid w:val="002C04C4"/>
    <w:rsid w:val="002C303D"/>
    <w:rsid w:val="002D08B0"/>
    <w:rsid w:val="002D1AE3"/>
    <w:rsid w:val="002E088A"/>
    <w:rsid w:val="002F2ECE"/>
    <w:rsid w:val="00305179"/>
    <w:rsid w:val="00322F59"/>
    <w:rsid w:val="00337EA1"/>
    <w:rsid w:val="00341C8F"/>
    <w:rsid w:val="0035463A"/>
    <w:rsid w:val="00391D9D"/>
    <w:rsid w:val="003B0C58"/>
    <w:rsid w:val="003B6C51"/>
    <w:rsid w:val="003C1413"/>
    <w:rsid w:val="003C549F"/>
    <w:rsid w:val="003D5A16"/>
    <w:rsid w:val="003E7DB3"/>
    <w:rsid w:val="003F09F1"/>
    <w:rsid w:val="003F1BBB"/>
    <w:rsid w:val="00424D1B"/>
    <w:rsid w:val="00431175"/>
    <w:rsid w:val="00452E9C"/>
    <w:rsid w:val="004B6E37"/>
    <w:rsid w:val="004C32BA"/>
    <w:rsid w:val="00510D8B"/>
    <w:rsid w:val="00575922"/>
    <w:rsid w:val="00595481"/>
    <w:rsid w:val="005A6C90"/>
    <w:rsid w:val="005E3FB0"/>
    <w:rsid w:val="005F4B66"/>
    <w:rsid w:val="005F5208"/>
    <w:rsid w:val="00601EB1"/>
    <w:rsid w:val="006317C5"/>
    <w:rsid w:val="00633CCE"/>
    <w:rsid w:val="00641318"/>
    <w:rsid w:val="0064405D"/>
    <w:rsid w:val="00674B65"/>
    <w:rsid w:val="00683268"/>
    <w:rsid w:val="00690382"/>
    <w:rsid w:val="00695557"/>
    <w:rsid w:val="006A2BB4"/>
    <w:rsid w:val="006C547B"/>
    <w:rsid w:val="006D4EA7"/>
    <w:rsid w:val="0070012A"/>
    <w:rsid w:val="00701625"/>
    <w:rsid w:val="00705D60"/>
    <w:rsid w:val="007064AC"/>
    <w:rsid w:val="0070664B"/>
    <w:rsid w:val="00706C2B"/>
    <w:rsid w:val="007071B8"/>
    <w:rsid w:val="007209B4"/>
    <w:rsid w:val="007414DE"/>
    <w:rsid w:val="007905A9"/>
    <w:rsid w:val="007A0728"/>
    <w:rsid w:val="007B6644"/>
    <w:rsid w:val="007C4CC9"/>
    <w:rsid w:val="007E5500"/>
    <w:rsid w:val="007F055B"/>
    <w:rsid w:val="00811C2F"/>
    <w:rsid w:val="00812133"/>
    <w:rsid w:val="008172D4"/>
    <w:rsid w:val="00833D46"/>
    <w:rsid w:val="00840A97"/>
    <w:rsid w:val="008806F5"/>
    <w:rsid w:val="00891988"/>
    <w:rsid w:val="008B6F2C"/>
    <w:rsid w:val="008C0149"/>
    <w:rsid w:val="008D5DED"/>
    <w:rsid w:val="008E25CA"/>
    <w:rsid w:val="008F34FC"/>
    <w:rsid w:val="00914BA2"/>
    <w:rsid w:val="0092190C"/>
    <w:rsid w:val="00930430"/>
    <w:rsid w:val="00944CD7"/>
    <w:rsid w:val="009831B2"/>
    <w:rsid w:val="009A1ABE"/>
    <w:rsid w:val="009C7A58"/>
    <w:rsid w:val="009E21A4"/>
    <w:rsid w:val="009F22C6"/>
    <w:rsid w:val="009F4887"/>
    <w:rsid w:val="00A07E50"/>
    <w:rsid w:val="00A15397"/>
    <w:rsid w:val="00A27DAB"/>
    <w:rsid w:val="00A35CE0"/>
    <w:rsid w:val="00A4462E"/>
    <w:rsid w:val="00A44AA4"/>
    <w:rsid w:val="00A61623"/>
    <w:rsid w:val="00A84687"/>
    <w:rsid w:val="00AB0A0E"/>
    <w:rsid w:val="00AD3B6E"/>
    <w:rsid w:val="00AE7C35"/>
    <w:rsid w:val="00AF5632"/>
    <w:rsid w:val="00AF7117"/>
    <w:rsid w:val="00B110F8"/>
    <w:rsid w:val="00B1751F"/>
    <w:rsid w:val="00B56722"/>
    <w:rsid w:val="00B63F3B"/>
    <w:rsid w:val="00B74D39"/>
    <w:rsid w:val="00B872C2"/>
    <w:rsid w:val="00B91DA4"/>
    <w:rsid w:val="00C12630"/>
    <w:rsid w:val="00C34562"/>
    <w:rsid w:val="00C3774E"/>
    <w:rsid w:val="00C430E4"/>
    <w:rsid w:val="00C53D1B"/>
    <w:rsid w:val="00C57456"/>
    <w:rsid w:val="00C65387"/>
    <w:rsid w:val="00C76184"/>
    <w:rsid w:val="00C87FAB"/>
    <w:rsid w:val="00C91FF7"/>
    <w:rsid w:val="00C94E53"/>
    <w:rsid w:val="00CF4AFA"/>
    <w:rsid w:val="00CF4BD7"/>
    <w:rsid w:val="00D0048E"/>
    <w:rsid w:val="00D23E7A"/>
    <w:rsid w:val="00D61063"/>
    <w:rsid w:val="00D93BB1"/>
    <w:rsid w:val="00DB35AF"/>
    <w:rsid w:val="00DC71A8"/>
    <w:rsid w:val="00DD2C99"/>
    <w:rsid w:val="00DD72D7"/>
    <w:rsid w:val="00DF5B88"/>
    <w:rsid w:val="00E01777"/>
    <w:rsid w:val="00E0589E"/>
    <w:rsid w:val="00E241FA"/>
    <w:rsid w:val="00E2595E"/>
    <w:rsid w:val="00E35374"/>
    <w:rsid w:val="00E41D97"/>
    <w:rsid w:val="00E50C19"/>
    <w:rsid w:val="00E60583"/>
    <w:rsid w:val="00E64655"/>
    <w:rsid w:val="00E73081"/>
    <w:rsid w:val="00E856C9"/>
    <w:rsid w:val="00EB6A8B"/>
    <w:rsid w:val="00EF295A"/>
    <w:rsid w:val="00EF38C6"/>
    <w:rsid w:val="00EF74FE"/>
    <w:rsid w:val="00F27122"/>
    <w:rsid w:val="00F679C7"/>
    <w:rsid w:val="00F7711A"/>
    <w:rsid w:val="00FA0D58"/>
    <w:rsid w:val="00FA56F4"/>
    <w:rsid w:val="00FB4EDA"/>
    <w:rsid w:val="00FC5695"/>
    <w:rsid w:val="00FD3BD5"/>
    <w:rsid w:val="00FE3DC8"/>
    <w:rsid w:val="04073F84"/>
    <w:rsid w:val="0B60750A"/>
    <w:rsid w:val="10686488"/>
    <w:rsid w:val="10DF728A"/>
    <w:rsid w:val="1264200E"/>
    <w:rsid w:val="141C5B77"/>
    <w:rsid w:val="141E2690"/>
    <w:rsid w:val="18D8339D"/>
    <w:rsid w:val="1A21388F"/>
    <w:rsid w:val="1A570D2F"/>
    <w:rsid w:val="28FB0B8D"/>
    <w:rsid w:val="2A9870FC"/>
    <w:rsid w:val="2D2B7942"/>
    <w:rsid w:val="2D46481D"/>
    <w:rsid w:val="2E733B28"/>
    <w:rsid w:val="31852B5A"/>
    <w:rsid w:val="32D01238"/>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character" w:customStyle="1" w:styleId="33">
    <w:name w:val="样式1 Char"/>
    <w:link w:val="34"/>
    <w:locked/>
    <w:uiPriority w:val="0"/>
    <w:rPr>
      <w:rFonts w:ascii="华文中宋" w:hAnsi="华文中宋" w:eastAsia="华文中宋" w:cs="宋体"/>
      <w:color w:val="070809"/>
      <w:sz w:val="44"/>
      <w:szCs w:val="44"/>
      <w:shd w:val="clear" w:color="auto" w:fill="FFFFFE"/>
      <w:lang w:val="zh-CN"/>
    </w:rPr>
  </w:style>
  <w:style w:type="paragraph" w:customStyle="1" w:styleId="34">
    <w:name w:val="样式1"/>
    <w:basedOn w:val="1"/>
    <w:link w:val="33"/>
    <w:qFormat/>
    <w:uiPriority w:val="0"/>
    <w:pPr>
      <w:shd w:val="clear" w:color="auto" w:fill="FFFFFE"/>
      <w:autoSpaceDE w:val="0"/>
      <w:autoSpaceDN w:val="0"/>
      <w:adjustRightInd w:val="0"/>
      <w:spacing w:after="0" w:line="475" w:lineRule="exact"/>
      <w:ind w:right="164"/>
      <w:jc w:val="center"/>
    </w:pPr>
    <w:rPr>
      <w:rFonts w:ascii="华文中宋" w:hAnsi="华文中宋" w:eastAsia="华文中宋" w:cs="宋体"/>
      <w:color w:val="070809"/>
      <w:kern w:val="0"/>
      <w:sz w:val="44"/>
      <w:szCs w:val="44"/>
      <w:lang w:val="zh-CN"/>
    </w:rPr>
  </w:style>
  <w:style w:type="paragraph" w:customStyle="1" w:styleId="35">
    <w:name w:val="p0"/>
    <w:basedOn w:val="1"/>
    <w:qFormat/>
    <w:uiPriority w:val="0"/>
    <w:pPr>
      <w:widowControl/>
      <w:spacing w:after="0" w:line="240" w:lineRule="auto"/>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2"/>
    <customShpInfo spid="_x0000_s1081"/>
    <customShpInfo spid="_x0000_s1080"/>
    <customShpInfo spid="_x0000_s1079"/>
    <customShpInfo spid="_x0000_s1078"/>
    <customShpInfo spid="_x0000_s1077"/>
    <customShpInfo spid="_x0000_s1076"/>
    <customShpInfo spid="_x0000_s1132"/>
    <customShpInfo spid="_x0000_s1133"/>
    <customShpInfo spid="_x0000_s1131"/>
    <customShpInfo spid="_x0000_s1130"/>
    <customShpInfo spid="_x0000_s1129"/>
    <customShpInfo spid="_x0000_s1134"/>
    <customShpInfo spid="_x0000_s1137"/>
    <customShpInfo spid="_x0000_s1138"/>
    <customShpInfo spid="_x0000_s1139"/>
    <customShpInfo spid="_x0000_s1075"/>
    <customShpInfo spid="_x0000_s1074"/>
    <customShpInfo spid="_x0000_s1073"/>
    <customShpInfo spid="_x0000_s1136"/>
    <customShpInfo spid="_x0000_s1072"/>
    <customShpInfo spid="_x0000_s1071"/>
    <customShpInfo spid="_x0000_s1070"/>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1CA0CB-5A28-40E1-B20C-C0A81AB73B3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6611</Words>
  <Characters>7312</Characters>
  <Lines>54</Lines>
  <Paragraphs>15</Paragraphs>
  <TotalTime>762</TotalTime>
  <ScaleCrop>false</ScaleCrop>
  <LinksUpToDate>false</LinksUpToDate>
  <CharactersWithSpaces>7328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楠  </cp:lastModifiedBy>
  <cp:lastPrinted>2019-08-02T01:01:00Z</cp:lastPrinted>
  <dcterms:modified xsi:type="dcterms:W3CDTF">2023-07-04T08:02:40Z</dcterms:modified>
  <dc:subject>石家庄市xxx部门</dc:subject>
  <dc:title>2017年度部门决算</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1D4AD22F031940D29BBCE8140F3A46EC_12</vt:lpwstr>
  </property>
</Properties>
</file>